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3240"/>
        <w:gridCol w:w="1812"/>
      </w:tblGrid>
      <w:tr w:rsidR="00F40718" w:rsidRPr="00161A79" w:rsidTr="00030FEE">
        <w:trPr>
          <w:trHeight w:val="450"/>
        </w:trPr>
        <w:tc>
          <w:tcPr>
            <w:tcW w:w="8940" w:type="dxa"/>
            <w:gridSpan w:val="3"/>
            <w:tcBorders>
              <w:top w:val="nil"/>
              <w:left w:val="nil"/>
              <w:bottom w:val="single" w:sz="4" w:space="0" w:color="auto"/>
              <w:right w:val="nil"/>
            </w:tcBorders>
            <w:shd w:val="clear" w:color="auto" w:fill="auto"/>
          </w:tcPr>
          <w:p w:rsidR="00F40718" w:rsidRPr="00161A79" w:rsidRDefault="00F40718" w:rsidP="00C8062E">
            <w:pPr>
              <w:rPr>
                <w:rFonts w:ascii="Calibri" w:hAnsi="Calibri"/>
                <w:b/>
                <w:bCs/>
                <w:sz w:val="32"/>
                <w:szCs w:val="32"/>
              </w:rPr>
            </w:pPr>
          </w:p>
        </w:tc>
      </w:tr>
      <w:tr w:rsidR="00F40718" w:rsidRPr="00161A79" w:rsidTr="00030FEE">
        <w:trPr>
          <w:trHeight w:val="306"/>
        </w:trPr>
        <w:tc>
          <w:tcPr>
            <w:tcW w:w="8940" w:type="dxa"/>
            <w:gridSpan w:val="3"/>
            <w:tcBorders>
              <w:top w:val="single" w:sz="4" w:space="0" w:color="auto"/>
            </w:tcBorders>
            <w:shd w:val="clear" w:color="auto" w:fill="auto"/>
            <w:vAlign w:val="bottom"/>
          </w:tcPr>
          <w:p w:rsidR="00F40718" w:rsidRPr="00161A79" w:rsidRDefault="00F40718" w:rsidP="00C8062E">
            <w:pPr>
              <w:rPr>
                <w:rFonts w:ascii="Calibri" w:hAnsi="Calibri"/>
                <w:bCs/>
              </w:rPr>
            </w:pPr>
            <w:r w:rsidRPr="00161A79">
              <w:rPr>
                <w:rFonts w:ascii="Calibri" w:hAnsi="Calibri"/>
              </w:rPr>
              <w:t xml:space="preserve">Section:  </w:t>
            </w:r>
            <w:r w:rsidRPr="00161A79">
              <w:rPr>
                <w:rFonts w:ascii="Calibri" w:hAnsi="Calibri"/>
                <w:bCs/>
              </w:rPr>
              <w:t>Administration</w:t>
            </w:r>
            <w:r w:rsidRPr="00161A79">
              <w:rPr>
                <w:rFonts w:ascii="Calibri" w:hAnsi="Calibri"/>
              </w:rPr>
              <w:t xml:space="preserve"> </w:t>
            </w:r>
          </w:p>
        </w:tc>
      </w:tr>
      <w:tr w:rsidR="00F40718" w:rsidRPr="00161A79" w:rsidTr="00030FEE">
        <w:trPr>
          <w:trHeight w:val="351"/>
        </w:trPr>
        <w:tc>
          <w:tcPr>
            <w:tcW w:w="8940" w:type="dxa"/>
            <w:gridSpan w:val="3"/>
            <w:shd w:val="clear" w:color="auto" w:fill="auto"/>
            <w:vAlign w:val="bottom"/>
          </w:tcPr>
          <w:p w:rsidR="00F40718" w:rsidRPr="00161A79" w:rsidRDefault="00F40718" w:rsidP="00161A79">
            <w:pPr>
              <w:rPr>
                <w:rFonts w:ascii="Calibri" w:hAnsi="Calibri"/>
                <w:bCs/>
              </w:rPr>
            </w:pPr>
            <w:r w:rsidRPr="00161A79">
              <w:rPr>
                <w:rFonts w:ascii="Calibri" w:hAnsi="Calibri"/>
              </w:rPr>
              <w:t xml:space="preserve">Title:  </w:t>
            </w:r>
            <w:r w:rsidR="00DB2B22" w:rsidRPr="007F40AA">
              <w:rPr>
                <w:rFonts w:ascii="Calibri" w:hAnsi="Calibri"/>
                <w:b/>
                <w:bCs/>
              </w:rPr>
              <w:t>Incident</w:t>
            </w:r>
            <w:r w:rsidR="004750C3" w:rsidRPr="00161A79">
              <w:rPr>
                <w:rFonts w:ascii="Calibri" w:hAnsi="Calibri"/>
                <w:b/>
                <w:bCs/>
              </w:rPr>
              <w:t xml:space="preserve"> </w:t>
            </w:r>
            <w:r w:rsidRPr="00161A79">
              <w:rPr>
                <w:rFonts w:ascii="Calibri" w:hAnsi="Calibri"/>
                <w:b/>
                <w:bCs/>
              </w:rPr>
              <w:t xml:space="preserve">Reporting </w:t>
            </w:r>
          </w:p>
        </w:tc>
      </w:tr>
      <w:tr w:rsidR="00F40718" w:rsidRPr="00161A79" w:rsidTr="00030FEE">
        <w:trPr>
          <w:trHeight w:val="360"/>
        </w:trPr>
        <w:tc>
          <w:tcPr>
            <w:tcW w:w="8940" w:type="dxa"/>
            <w:gridSpan w:val="3"/>
            <w:shd w:val="clear" w:color="auto" w:fill="auto"/>
            <w:vAlign w:val="bottom"/>
          </w:tcPr>
          <w:p w:rsidR="00F40718" w:rsidRPr="00161A79" w:rsidRDefault="00F40718" w:rsidP="004B0334">
            <w:pPr>
              <w:rPr>
                <w:rFonts w:ascii="Calibri" w:hAnsi="Calibri"/>
                <w:bCs/>
              </w:rPr>
            </w:pPr>
            <w:r w:rsidRPr="00161A79">
              <w:rPr>
                <w:rFonts w:ascii="Calibri" w:hAnsi="Calibri"/>
                <w:bCs/>
              </w:rPr>
              <w:t xml:space="preserve">Document Number: </w:t>
            </w:r>
          </w:p>
        </w:tc>
      </w:tr>
      <w:tr w:rsidR="00F40718" w:rsidRPr="00161A79" w:rsidTr="00161A79">
        <w:trPr>
          <w:trHeight w:val="360"/>
        </w:trPr>
        <w:tc>
          <w:tcPr>
            <w:tcW w:w="3888" w:type="dxa"/>
            <w:vMerge w:val="restart"/>
            <w:shd w:val="clear" w:color="auto" w:fill="auto"/>
            <w:vAlign w:val="center"/>
          </w:tcPr>
          <w:p w:rsidR="00A167B2" w:rsidRPr="00161A79" w:rsidRDefault="00F40718" w:rsidP="00CE5D7B">
            <w:pPr>
              <w:rPr>
                <w:rFonts w:ascii="Calibri" w:hAnsi="Calibri"/>
                <w:bCs/>
              </w:rPr>
            </w:pPr>
            <w:r w:rsidRPr="00161A79">
              <w:rPr>
                <w:rFonts w:ascii="Calibri" w:hAnsi="Calibri"/>
                <w:bCs/>
              </w:rPr>
              <w:t xml:space="preserve">Effective </w:t>
            </w:r>
            <w:r w:rsidR="00CE5D7B" w:rsidRPr="00161A79">
              <w:rPr>
                <w:rFonts w:ascii="Calibri" w:hAnsi="Calibri"/>
                <w:bCs/>
              </w:rPr>
              <w:t>Period</w:t>
            </w:r>
            <w:r w:rsidRPr="00161A79">
              <w:rPr>
                <w:rFonts w:ascii="Calibri" w:hAnsi="Calibri"/>
                <w:bCs/>
              </w:rPr>
              <w:t>:</w:t>
            </w:r>
            <w:r w:rsidR="00CE5D7B" w:rsidRPr="00161A79">
              <w:rPr>
                <w:rFonts w:ascii="Calibri" w:hAnsi="Calibri"/>
                <w:bCs/>
              </w:rPr>
              <w:t xml:space="preserve"> </w:t>
            </w:r>
          </w:p>
          <w:p w:rsidR="00F40718" w:rsidRPr="00161A79" w:rsidRDefault="00F40718" w:rsidP="00CE5D7B">
            <w:pPr>
              <w:rPr>
                <w:rFonts w:ascii="Calibri" w:hAnsi="Calibri"/>
                <w:bCs/>
              </w:rPr>
            </w:pPr>
          </w:p>
        </w:tc>
        <w:tc>
          <w:tcPr>
            <w:tcW w:w="5052" w:type="dxa"/>
            <w:gridSpan w:val="2"/>
            <w:tcBorders>
              <w:bottom w:val="single" w:sz="4" w:space="0" w:color="auto"/>
            </w:tcBorders>
            <w:shd w:val="clear" w:color="auto" w:fill="auto"/>
            <w:vAlign w:val="bottom"/>
          </w:tcPr>
          <w:p w:rsidR="00F40718" w:rsidRPr="00161A79" w:rsidRDefault="00F40718" w:rsidP="004B0334">
            <w:pPr>
              <w:rPr>
                <w:rFonts w:ascii="Calibri" w:hAnsi="Calibri"/>
                <w:bCs/>
              </w:rPr>
            </w:pPr>
            <w:r w:rsidRPr="00161A79">
              <w:rPr>
                <w:rFonts w:ascii="Calibri" w:hAnsi="Calibri"/>
                <w:bCs/>
              </w:rPr>
              <w:t xml:space="preserve">Reviewed Date: </w:t>
            </w:r>
          </w:p>
        </w:tc>
      </w:tr>
      <w:tr w:rsidR="00F40718" w:rsidRPr="00161A79" w:rsidTr="00161A79">
        <w:trPr>
          <w:trHeight w:val="360"/>
        </w:trPr>
        <w:tc>
          <w:tcPr>
            <w:tcW w:w="3888" w:type="dxa"/>
            <w:vMerge/>
            <w:tcBorders>
              <w:bottom w:val="single" w:sz="4" w:space="0" w:color="auto"/>
            </w:tcBorders>
            <w:shd w:val="clear" w:color="auto" w:fill="auto"/>
          </w:tcPr>
          <w:p w:rsidR="00F40718" w:rsidRPr="00161A79" w:rsidRDefault="00F40718" w:rsidP="00C8062E">
            <w:pPr>
              <w:rPr>
                <w:rFonts w:ascii="Calibri" w:hAnsi="Calibri"/>
                <w:bCs/>
              </w:rPr>
            </w:pPr>
          </w:p>
        </w:tc>
        <w:tc>
          <w:tcPr>
            <w:tcW w:w="5052" w:type="dxa"/>
            <w:gridSpan w:val="2"/>
            <w:tcBorders>
              <w:bottom w:val="single" w:sz="4" w:space="0" w:color="auto"/>
            </w:tcBorders>
            <w:shd w:val="clear" w:color="auto" w:fill="auto"/>
            <w:vAlign w:val="bottom"/>
          </w:tcPr>
          <w:p w:rsidR="00F40718" w:rsidRPr="00161A79" w:rsidRDefault="00A9524F" w:rsidP="004B0334">
            <w:pPr>
              <w:rPr>
                <w:rFonts w:ascii="Calibri" w:hAnsi="Calibri"/>
                <w:bCs/>
              </w:rPr>
            </w:pPr>
            <w:r w:rsidRPr="00161A79">
              <w:rPr>
                <w:rFonts w:ascii="Calibri" w:hAnsi="Calibri"/>
                <w:bCs/>
              </w:rPr>
              <w:t xml:space="preserve">Revised Date: </w:t>
            </w:r>
          </w:p>
        </w:tc>
      </w:tr>
      <w:tr w:rsidR="00F40718" w:rsidRPr="00161A79" w:rsidTr="00161A79">
        <w:trPr>
          <w:trHeight w:val="369"/>
        </w:trPr>
        <w:tc>
          <w:tcPr>
            <w:tcW w:w="3888" w:type="dxa"/>
            <w:tcBorders>
              <w:top w:val="nil"/>
              <w:left w:val="nil"/>
              <w:bottom w:val="nil"/>
              <w:right w:val="nil"/>
            </w:tcBorders>
            <w:shd w:val="clear" w:color="auto" w:fill="auto"/>
            <w:vAlign w:val="bottom"/>
          </w:tcPr>
          <w:p w:rsidR="00F40718" w:rsidRPr="00161A79" w:rsidRDefault="00F40718" w:rsidP="00C8062E">
            <w:pPr>
              <w:rPr>
                <w:rFonts w:ascii="Calibri" w:hAnsi="Calibri"/>
                <w:b/>
                <w:bCs/>
                <w:u w:val="single"/>
              </w:rPr>
            </w:pPr>
            <w:r w:rsidRPr="00161A79">
              <w:rPr>
                <w:rFonts w:ascii="Calibri" w:hAnsi="Calibri"/>
                <w:b/>
                <w:bCs/>
                <w:u w:val="single"/>
              </w:rPr>
              <w:t>Approved By</w:t>
            </w:r>
          </w:p>
          <w:p w:rsidR="00A9524F" w:rsidRPr="00161A79" w:rsidRDefault="00A9524F" w:rsidP="00C8062E">
            <w:pPr>
              <w:rPr>
                <w:rFonts w:ascii="Calibri" w:hAnsi="Calibri"/>
                <w:b/>
                <w:bCs/>
              </w:rPr>
            </w:pPr>
          </w:p>
        </w:tc>
        <w:tc>
          <w:tcPr>
            <w:tcW w:w="3240" w:type="dxa"/>
            <w:tcBorders>
              <w:top w:val="nil"/>
              <w:left w:val="nil"/>
              <w:bottom w:val="nil"/>
              <w:right w:val="nil"/>
            </w:tcBorders>
            <w:shd w:val="clear" w:color="auto" w:fill="auto"/>
            <w:vAlign w:val="bottom"/>
          </w:tcPr>
          <w:p w:rsidR="00F40718" w:rsidRPr="00161A79" w:rsidRDefault="00F40718" w:rsidP="00C8062E">
            <w:pPr>
              <w:rPr>
                <w:rFonts w:ascii="Calibri" w:hAnsi="Calibri"/>
                <w:b/>
                <w:bCs/>
                <w:u w:val="single"/>
              </w:rPr>
            </w:pPr>
            <w:r w:rsidRPr="00161A79">
              <w:rPr>
                <w:rFonts w:ascii="Calibri" w:hAnsi="Calibri"/>
                <w:b/>
                <w:bCs/>
                <w:u w:val="single"/>
              </w:rPr>
              <w:t>Signature</w:t>
            </w:r>
          </w:p>
          <w:p w:rsidR="00A9524F" w:rsidRPr="00161A79" w:rsidRDefault="00A9524F" w:rsidP="00C8062E">
            <w:pPr>
              <w:rPr>
                <w:rFonts w:ascii="Calibri" w:hAnsi="Calibri"/>
                <w:b/>
                <w:bCs/>
                <w:u w:val="single"/>
              </w:rPr>
            </w:pPr>
          </w:p>
        </w:tc>
        <w:tc>
          <w:tcPr>
            <w:tcW w:w="1812" w:type="dxa"/>
            <w:tcBorders>
              <w:top w:val="nil"/>
              <w:left w:val="nil"/>
              <w:bottom w:val="nil"/>
              <w:right w:val="nil"/>
            </w:tcBorders>
            <w:shd w:val="clear" w:color="auto" w:fill="auto"/>
            <w:vAlign w:val="bottom"/>
          </w:tcPr>
          <w:p w:rsidR="00F40718" w:rsidRPr="00161A79" w:rsidRDefault="00F40718" w:rsidP="00C8062E">
            <w:pPr>
              <w:rPr>
                <w:rFonts w:ascii="Calibri" w:hAnsi="Calibri"/>
                <w:b/>
                <w:bCs/>
              </w:rPr>
            </w:pPr>
          </w:p>
          <w:p w:rsidR="00A9524F" w:rsidRPr="00161A79" w:rsidRDefault="00A9524F" w:rsidP="00C8062E">
            <w:pPr>
              <w:rPr>
                <w:rFonts w:ascii="Calibri" w:hAnsi="Calibri"/>
                <w:b/>
                <w:bCs/>
                <w:u w:val="single"/>
              </w:rPr>
            </w:pPr>
            <w:r w:rsidRPr="00161A79">
              <w:rPr>
                <w:rFonts w:ascii="Calibri" w:hAnsi="Calibri"/>
                <w:b/>
                <w:bCs/>
                <w:u w:val="single"/>
              </w:rPr>
              <w:br/>
            </w:r>
          </w:p>
        </w:tc>
      </w:tr>
      <w:tr w:rsidR="00CE5D7B" w:rsidRPr="00161A79" w:rsidTr="00161A79">
        <w:tblPrEx>
          <w:tblBorders>
            <w:insideH w:val="single" w:sz="6" w:space="0" w:color="auto"/>
            <w:insideV w:val="single" w:sz="6" w:space="0" w:color="auto"/>
          </w:tblBorders>
        </w:tblPrEx>
        <w:trPr>
          <w:trHeight w:val="503"/>
        </w:trPr>
        <w:tc>
          <w:tcPr>
            <w:tcW w:w="3888" w:type="dxa"/>
            <w:shd w:val="clear" w:color="auto" w:fill="auto"/>
            <w:vAlign w:val="bottom"/>
          </w:tcPr>
          <w:p w:rsidR="00CE5D7B" w:rsidRPr="00161A79" w:rsidRDefault="00CE5D7B" w:rsidP="00D24546">
            <w:pPr>
              <w:rPr>
                <w:rFonts w:ascii="Calibri" w:hAnsi="Calibri"/>
              </w:rPr>
            </w:pPr>
          </w:p>
        </w:tc>
        <w:tc>
          <w:tcPr>
            <w:tcW w:w="5052" w:type="dxa"/>
            <w:gridSpan w:val="2"/>
            <w:shd w:val="clear" w:color="auto" w:fill="auto"/>
            <w:vAlign w:val="bottom"/>
          </w:tcPr>
          <w:p w:rsidR="00CE5D7B" w:rsidRPr="00161A79" w:rsidRDefault="00CE5D7B" w:rsidP="00D24546">
            <w:pPr>
              <w:rPr>
                <w:rFonts w:ascii="Calibri" w:hAnsi="Calibri"/>
              </w:rPr>
            </w:pPr>
          </w:p>
        </w:tc>
      </w:tr>
    </w:tbl>
    <w:p w:rsidR="00FB6CCF" w:rsidRPr="00161A79" w:rsidRDefault="00FB6CCF" w:rsidP="00F40718">
      <w:pPr>
        <w:rPr>
          <w:rFonts w:ascii="Calibri" w:hAnsi="Calibri"/>
          <w:b/>
          <w:bCs/>
        </w:rPr>
      </w:pPr>
      <w:bookmarkStart w:id="0" w:name="_GoBack"/>
      <w:bookmarkEnd w:id="0"/>
    </w:p>
    <w:p w:rsidR="00F40718" w:rsidRPr="00161A79" w:rsidRDefault="00FB6CCF" w:rsidP="00F40718">
      <w:pPr>
        <w:rPr>
          <w:rFonts w:ascii="Calibri" w:hAnsi="Calibri"/>
          <w:b/>
          <w:bCs/>
        </w:rPr>
      </w:pPr>
      <w:r w:rsidRPr="00161A79">
        <w:rPr>
          <w:rFonts w:ascii="Calibri" w:hAnsi="Calibri"/>
          <w:b/>
          <w:bCs/>
        </w:rPr>
        <w:t>P</w:t>
      </w:r>
      <w:r w:rsidR="003E20A1" w:rsidRPr="00161A79">
        <w:rPr>
          <w:rFonts w:ascii="Calibri" w:hAnsi="Calibri"/>
          <w:b/>
          <w:bCs/>
        </w:rPr>
        <w:t xml:space="preserve">olicy: </w:t>
      </w:r>
      <w:r w:rsidR="004B0334">
        <w:rPr>
          <w:rFonts w:ascii="Calibri" w:hAnsi="Calibri"/>
        </w:rPr>
        <w:t>______________</w:t>
      </w:r>
      <w:r w:rsidR="00F40718" w:rsidRPr="00161A79">
        <w:rPr>
          <w:rFonts w:ascii="Calibri" w:hAnsi="Calibri"/>
        </w:rPr>
        <w:t>requires that certain events</w:t>
      </w:r>
      <w:r w:rsidR="00B32F0D" w:rsidRPr="00161A79">
        <w:rPr>
          <w:rFonts w:ascii="Calibri" w:hAnsi="Calibri"/>
        </w:rPr>
        <w:t>, defined below as incidents,</w:t>
      </w:r>
      <w:r w:rsidR="00F40718" w:rsidRPr="00161A79">
        <w:rPr>
          <w:rFonts w:ascii="Calibri" w:hAnsi="Calibri"/>
        </w:rPr>
        <w:t xml:space="preserve"> be reported in order to:</w:t>
      </w:r>
      <w:r w:rsidR="00F40718" w:rsidRPr="00161A79">
        <w:rPr>
          <w:rFonts w:ascii="Calibri" w:hAnsi="Calibri"/>
        </w:rPr>
        <w:tab/>
      </w:r>
    </w:p>
    <w:p w:rsidR="00F40718" w:rsidRPr="00161A79" w:rsidRDefault="00F40718" w:rsidP="00F40718">
      <w:pPr>
        <w:numPr>
          <w:ilvl w:val="0"/>
          <w:numId w:val="1"/>
        </w:numPr>
        <w:rPr>
          <w:rFonts w:ascii="Calibri" w:hAnsi="Calibri"/>
        </w:rPr>
      </w:pPr>
      <w:r w:rsidRPr="00161A79">
        <w:rPr>
          <w:rFonts w:ascii="Calibri" w:hAnsi="Calibri"/>
        </w:rPr>
        <w:t xml:space="preserve">Improve the quality of care </w:t>
      </w:r>
    </w:p>
    <w:p w:rsidR="005844E4" w:rsidRPr="00161A79" w:rsidRDefault="005844E4" w:rsidP="00F40718">
      <w:pPr>
        <w:numPr>
          <w:ilvl w:val="0"/>
          <w:numId w:val="1"/>
        </w:numPr>
        <w:rPr>
          <w:rFonts w:ascii="Calibri" w:hAnsi="Calibri"/>
        </w:rPr>
      </w:pPr>
      <w:r w:rsidRPr="00161A79">
        <w:rPr>
          <w:rFonts w:ascii="Calibri" w:hAnsi="Calibri"/>
        </w:rPr>
        <w:t>Monitor and mitigate actual or potential unsafe situations, events, or conditions</w:t>
      </w:r>
    </w:p>
    <w:p w:rsidR="00F40718" w:rsidRPr="00161A79" w:rsidRDefault="00F40718" w:rsidP="00F40718">
      <w:pPr>
        <w:numPr>
          <w:ilvl w:val="0"/>
          <w:numId w:val="1"/>
        </w:numPr>
        <w:rPr>
          <w:rFonts w:ascii="Calibri" w:hAnsi="Calibri"/>
        </w:rPr>
      </w:pPr>
      <w:r w:rsidRPr="00161A79">
        <w:rPr>
          <w:rFonts w:ascii="Calibri" w:hAnsi="Calibri"/>
        </w:rPr>
        <w:t>Comply with legal requirements</w:t>
      </w:r>
    </w:p>
    <w:p w:rsidR="00F40718" w:rsidRPr="00161A79" w:rsidRDefault="00F40718" w:rsidP="00F40718">
      <w:pPr>
        <w:numPr>
          <w:ilvl w:val="0"/>
          <w:numId w:val="1"/>
        </w:numPr>
        <w:rPr>
          <w:rFonts w:ascii="Calibri" w:hAnsi="Calibri"/>
        </w:rPr>
      </w:pPr>
      <w:r w:rsidRPr="00161A79">
        <w:rPr>
          <w:rFonts w:ascii="Calibri" w:hAnsi="Calibri"/>
        </w:rPr>
        <w:t>Protect against potential liability lawsuits.</w:t>
      </w:r>
    </w:p>
    <w:p w:rsidR="00C260AB" w:rsidRPr="00161A79" w:rsidRDefault="00C260AB" w:rsidP="00F40718">
      <w:pPr>
        <w:rPr>
          <w:rFonts w:ascii="Calibri" w:hAnsi="Calibri"/>
        </w:rPr>
      </w:pPr>
    </w:p>
    <w:p w:rsidR="005B0275" w:rsidRPr="007F40AA" w:rsidRDefault="004B0334" w:rsidP="00161A79">
      <w:pPr>
        <w:ind w:left="720"/>
        <w:rPr>
          <w:rFonts w:ascii="Calibri" w:hAnsi="Calibri"/>
        </w:rPr>
      </w:pPr>
      <w:r>
        <w:rPr>
          <w:rFonts w:ascii="Calibri" w:hAnsi="Calibri"/>
        </w:rPr>
        <w:t>___________</w:t>
      </w:r>
      <w:r w:rsidR="00DB2B22" w:rsidRPr="007F40AA">
        <w:rPr>
          <w:rFonts w:ascii="Calibri" w:hAnsi="Calibri"/>
        </w:rPr>
        <w:t xml:space="preserve"> uses the Healthcare </w:t>
      </w:r>
      <w:proofErr w:type="spellStart"/>
      <w:r w:rsidR="00DB2B22" w:rsidRPr="007F40AA">
        <w:rPr>
          <w:rFonts w:ascii="Calibri" w:hAnsi="Calibri"/>
        </w:rPr>
        <w:t>SafetyZone</w:t>
      </w:r>
      <w:proofErr w:type="spellEnd"/>
      <w:r w:rsidR="00DB2B22" w:rsidRPr="007F40AA">
        <w:rPr>
          <w:rFonts w:ascii="Calibri" w:hAnsi="Calibri"/>
        </w:rPr>
        <w:t xml:space="preserve"> Portal (</w:t>
      </w:r>
      <w:proofErr w:type="spellStart"/>
      <w:r w:rsidR="00DB2B22" w:rsidRPr="007F40AA">
        <w:rPr>
          <w:rFonts w:ascii="Calibri" w:hAnsi="Calibri"/>
        </w:rPr>
        <w:t>SafetyZone</w:t>
      </w:r>
      <w:proofErr w:type="spellEnd"/>
      <w:r w:rsidR="00DB2B22" w:rsidRPr="007F40AA">
        <w:rPr>
          <w:rFonts w:ascii="Calibri" w:hAnsi="Calibri"/>
        </w:rPr>
        <w:t xml:space="preserve">) to internally report events, including but not limited to incidents, patient feedback, and staff compliments. The </w:t>
      </w:r>
      <w:proofErr w:type="spellStart"/>
      <w:r w:rsidR="00DB2B22" w:rsidRPr="007F40AA">
        <w:rPr>
          <w:rFonts w:ascii="Calibri" w:hAnsi="Calibri"/>
        </w:rPr>
        <w:t>SafetyZone</w:t>
      </w:r>
      <w:proofErr w:type="spellEnd"/>
      <w:r w:rsidR="00DB2B22" w:rsidRPr="007F40AA">
        <w:rPr>
          <w:rFonts w:ascii="Calibri" w:hAnsi="Calibri"/>
        </w:rPr>
        <w:t xml:space="preserve"> is an online reporting tool accessible from any Callen-Lorde computer without the need to log in. Reports entered in the system are filtered automatically and notification is sent via email to the appropriate person(s) for follow up. Follow up is conducted by the “event reviewers”. Event </w:t>
      </w:r>
      <w:proofErr w:type="spellStart"/>
      <w:r w:rsidR="00DB2B22" w:rsidRPr="007F40AA">
        <w:rPr>
          <w:rFonts w:ascii="Calibri" w:hAnsi="Calibri"/>
        </w:rPr>
        <w:t>Reviwers</w:t>
      </w:r>
      <w:proofErr w:type="spellEnd"/>
      <w:r w:rsidR="00DB2B22" w:rsidRPr="007F40AA">
        <w:rPr>
          <w:rFonts w:ascii="Calibri" w:hAnsi="Calibri"/>
        </w:rPr>
        <w:t xml:space="preserve"> are generally managers, directors or Senior Managers in c</w:t>
      </w:r>
      <w:r w:rsidR="005B0275" w:rsidRPr="007F40AA">
        <w:rPr>
          <w:rFonts w:ascii="Calibri" w:hAnsi="Calibri"/>
        </w:rPr>
        <w:t>harge of reviewing, following up</w:t>
      </w:r>
      <w:r w:rsidR="00DB2B22" w:rsidRPr="007F40AA">
        <w:rPr>
          <w:rFonts w:ascii="Calibri" w:hAnsi="Calibri"/>
        </w:rPr>
        <w:t xml:space="preserve">, and documenting follow up on events related to their department. </w:t>
      </w:r>
    </w:p>
    <w:p w:rsidR="005B0275" w:rsidRPr="007F40AA" w:rsidRDefault="005B0275" w:rsidP="00F40718">
      <w:pPr>
        <w:rPr>
          <w:rFonts w:ascii="Calibri" w:hAnsi="Calibri"/>
        </w:rPr>
      </w:pPr>
    </w:p>
    <w:p w:rsidR="00DB2B22" w:rsidRPr="007F40AA" w:rsidRDefault="00DB2B22" w:rsidP="00F40718">
      <w:pPr>
        <w:rPr>
          <w:rFonts w:ascii="Calibri" w:hAnsi="Calibri"/>
        </w:rPr>
      </w:pPr>
      <w:r w:rsidRPr="007F40AA">
        <w:rPr>
          <w:rFonts w:ascii="Calibri" w:hAnsi="Calibri"/>
        </w:rPr>
        <w:t xml:space="preserve">All </w:t>
      </w:r>
      <w:r w:rsidR="004B0334">
        <w:rPr>
          <w:rFonts w:ascii="Calibri" w:hAnsi="Calibri"/>
        </w:rPr>
        <w:t>____________</w:t>
      </w:r>
      <w:r w:rsidR="00C260AB" w:rsidRPr="00161A79">
        <w:rPr>
          <w:rFonts w:ascii="Calibri" w:hAnsi="Calibri"/>
        </w:rPr>
        <w:t xml:space="preserve"> employees receive</w:t>
      </w:r>
      <w:r w:rsidRPr="007F40AA">
        <w:rPr>
          <w:rFonts w:ascii="Calibri" w:hAnsi="Calibri"/>
        </w:rPr>
        <w:t xml:space="preserve"> re</w:t>
      </w:r>
      <w:r w:rsidR="00C260AB" w:rsidRPr="00161A79">
        <w:rPr>
          <w:rFonts w:ascii="Calibri" w:hAnsi="Calibri"/>
        </w:rPr>
        <w:t>porting</w:t>
      </w:r>
      <w:r w:rsidR="00B0695E" w:rsidRPr="00161A79">
        <w:rPr>
          <w:rFonts w:ascii="Calibri" w:hAnsi="Calibri"/>
        </w:rPr>
        <w:t xml:space="preserve"> </w:t>
      </w:r>
      <w:r w:rsidRPr="007F40AA">
        <w:rPr>
          <w:rFonts w:ascii="Calibri" w:hAnsi="Calibri"/>
        </w:rPr>
        <w:t xml:space="preserve">training </w:t>
      </w:r>
      <w:r w:rsidR="00B0695E" w:rsidRPr="00161A79">
        <w:rPr>
          <w:rFonts w:ascii="Calibri" w:hAnsi="Calibri"/>
        </w:rPr>
        <w:t>upon hire</w:t>
      </w:r>
      <w:r w:rsidRPr="007F40AA">
        <w:rPr>
          <w:rFonts w:ascii="Calibri" w:hAnsi="Calibri"/>
        </w:rPr>
        <w:t xml:space="preserve"> and following any major changes made to the internal incident reporting process</w:t>
      </w:r>
      <w:r w:rsidR="00B0695E" w:rsidRPr="00161A79">
        <w:rPr>
          <w:rFonts w:ascii="Calibri" w:hAnsi="Calibri"/>
        </w:rPr>
        <w:t>.</w:t>
      </w:r>
      <w:r w:rsidRPr="007F40AA">
        <w:rPr>
          <w:rFonts w:ascii="Calibri" w:hAnsi="Calibri"/>
        </w:rPr>
        <w:t xml:space="preserve"> Those assigned with “event reviewer” responsibilities receive additional training. </w:t>
      </w:r>
    </w:p>
    <w:p w:rsidR="00C260AB" w:rsidRPr="00161A79" w:rsidRDefault="00C260AB" w:rsidP="00F40718">
      <w:pPr>
        <w:rPr>
          <w:rFonts w:ascii="Calibri" w:hAnsi="Calibri"/>
        </w:rPr>
      </w:pPr>
    </w:p>
    <w:p w:rsidR="005E4D9E" w:rsidRPr="007F40AA" w:rsidRDefault="005E4D9E" w:rsidP="00C260AB">
      <w:pPr>
        <w:rPr>
          <w:rFonts w:ascii="Calibri" w:hAnsi="Calibri"/>
        </w:rPr>
      </w:pPr>
      <w:r w:rsidRPr="007F40AA">
        <w:rPr>
          <w:rFonts w:ascii="Calibri" w:hAnsi="Calibri"/>
        </w:rPr>
        <w:t xml:space="preserve">This policy reviews the process of reporting incidents via the </w:t>
      </w:r>
      <w:proofErr w:type="spellStart"/>
      <w:r w:rsidRPr="007F40AA">
        <w:rPr>
          <w:rFonts w:ascii="Calibri" w:hAnsi="Calibri"/>
        </w:rPr>
        <w:t>SafetyZone</w:t>
      </w:r>
      <w:proofErr w:type="spellEnd"/>
      <w:r w:rsidRPr="007F40AA">
        <w:rPr>
          <w:rFonts w:ascii="Calibri" w:hAnsi="Calibri"/>
        </w:rPr>
        <w:t>. For information on reporting patient complaints, see Patient Complaint policy and procedure.</w:t>
      </w:r>
    </w:p>
    <w:p w:rsidR="005E4D9E" w:rsidRPr="007F40AA" w:rsidRDefault="005E4D9E" w:rsidP="00C260AB">
      <w:pPr>
        <w:rPr>
          <w:rFonts w:ascii="Calibri" w:hAnsi="Calibri"/>
        </w:rPr>
      </w:pPr>
    </w:p>
    <w:p w:rsidR="00F40718" w:rsidRPr="00161A79" w:rsidRDefault="00F40718" w:rsidP="00C260AB">
      <w:pPr>
        <w:rPr>
          <w:rFonts w:ascii="Calibri" w:hAnsi="Calibri"/>
        </w:rPr>
      </w:pPr>
      <w:r w:rsidRPr="00161A79">
        <w:rPr>
          <w:rFonts w:ascii="Calibri" w:hAnsi="Calibri"/>
        </w:rPr>
        <w:t xml:space="preserve">An </w:t>
      </w:r>
      <w:r w:rsidRPr="00161A79">
        <w:rPr>
          <w:rFonts w:ascii="Calibri" w:hAnsi="Calibri"/>
          <w:b/>
        </w:rPr>
        <w:t>incident</w:t>
      </w:r>
      <w:r w:rsidRPr="00161A79">
        <w:rPr>
          <w:rFonts w:ascii="Calibri" w:hAnsi="Calibri"/>
        </w:rPr>
        <w:t xml:space="preserve"> is an occurrence or event that causes or has the potential to cause harm to an individual (staff, volunteer, patient, or visitor) or the institution. </w:t>
      </w:r>
      <w:r w:rsidR="005844E4" w:rsidRPr="00161A79">
        <w:rPr>
          <w:rFonts w:ascii="Calibri" w:hAnsi="Calibri"/>
        </w:rPr>
        <w:t>Examples include but are not limited to</w:t>
      </w:r>
      <w:r w:rsidRPr="00161A79">
        <w:rPr>
          <w:rFonts w:ascii="Calibri" w:hAnsi="Calibri"/>
        </w:rPr>
        <w:t xml:space="preserve">: </w:t>
      </w:r>
    </w:p>
    <w:p w:rsidR="00F40718" w:rsidRPr="00161A79" w:rsidRDefault="00F40718" w:rsidP="00F40718">
      <w:pPr>
        <w:numPr>
          <w:ilvl w:val="0"/>
          <w:numId w:val="2"/>
        </w:numPr>
        <w:rPr>
          <w:rFonts w:ascii="Calibri" w:hAnsi="Calibri"/>
        </w:rPr>
      </w:pPr>
      <w:r w:rsidRPr="00161A79">
        <w:rPr>
          <w:rFonts w:ascii="Calibri" w:hAnsi="Calibri"/>
        </w:rPr>
        <w:t xml:space="preserve">Adverse outcomes on-site (e.g., adverse drug reaction during on-site administration, malfunction of clinic equipment, suicide, suicide attempt &amp; patient deaths) </w:t>
      </w:r>
    </w:p>
    <w:p w:rsidR="00F40718" w:rsidRPr="00161A79" w:rsidRDefault="00F40718" w:rsidP="00F40718">
      <w:pPr>
        <w:numPr>
          <w:ilvl w:val="0"/>
          <w:numId w:val="2"/>
        </w:numPr>
        <w:rPr>
          <w:rFonts w:ascii="Calibri" w:hAnsi="Calibri"/>
        </w:rPr>
      </w:pPr>
      <w:r w:rsidRPr="00161A79">
        <w:rPr>
          <w:rFonts w:ascii="Calibri" w:hAnsi="Calibri"/>
        </w:rPr>
        <w:t>Accidents/mistakes (e.g., administering of wrong medication/dosage, staff injury, patient/staff/visitor falling/slipping)</w:t>
      </w:r>
    </w:p>
    <w:p w:rsidR="00F40718" w:rsidRPr="00161A79" w:rsidRDefault="00F40718" w:rsidP="00F40718">
      <w:pPr>
        <w:numPr>
          <w:ilvl w:val="0"/>
          <w:numId w:val="2"/>
        </w:numPr>
        <w:rPr>
          <w:rFonts w:ascii="Calibri" w:hAnsi="Calibri"/>
        </w:rPr>
      </w:pPr>
      <w:r w:rsidRPr="00161A79">
        <w:rPr>
          <w:rFonts w:ascii="Calibri" w:hAnsi="Calibri"/>
        </w:rPr>
        <w:t xml:space="preserve">Security issues (e.g., </w:t>
      </w:r>
      <w:r w:rsidR="00463458" w:rsidRPr="00161A79">
        <w:rPr>
          <w:rFonts w:ascii="Calibri" w:hAnsi="Calibri"/>
        </w:rPr>
        <w:t xml:space="preserve">assault on-site, </w:t>
      </w:r>
      <w:r w:rsidRPr="00161A79">
        <w:rPr>
          <w:rFonts w:ascii="Calibri" w:hAnsi="Calibri"/>
        </w:rPr>
        <w:t>harassment, threat of violence, patient intruding knowingly in an unauthorized area)</w:t>
      </w:r>
    </w:p>
    <w:p w:rsidR="00F40718" w:rsidRPr="00161A79" w:rsidRDefault="00F40718" w:rsidP="00F40718">
      <w:pPr>
        <w:numPr>
          <w:ilvl w:val="0"/>
          <w:numId w:val="2"/>
        </w:numPr>
        <w:rPr>
          <w:rFonts w:ascii="Calibri" w:hAnsi="Calibri"/>
        </w:rPr>
      </w:pPr>
      <w:r w:rsidRPr="00161A79">
        <w:rPr>
          <w:rFonts w:ascii="Calibri" w:hAnsi="Calibri"/>
        </w:rPr>
        <w:lastRenderedPageBreak/>
        <w:t>Environmental hazards (e.g., fire, blood spills, occupational exposure)</w:t>
      </w:r>
    </w:p>
    <w:p w:rsidR="00F40718" w:rsidRPr="00161A79" w:rsidRDefault="00F40718" w:rsidP="00F40718">
      <w:pPr>
        <w:numPr>
          <w:ilvl w:val="0"/>
          <w:numId w:val="2"/>
        </w:numPr>
        <w:rPr>
          <w:rFonts w:ascii="Calibri" w:hAnsi="Calibri"/>
        </w:rPr>
      </w:pPr>
      <w:r w:rsidRPr="00161A79">
        <w:rPr>
          <w:rFonts w:ascii="Calibri" w:hAnsi="Calibri"/>
        </w:rPr>
        <w:t>Breaches in confidentiality</w:t>
      </w:r>
    </w:p>
    <w:p w:rsidR="00F40718" w:rsidRPr="00161A79" w:rsidRDefault="00F40718" w:rsidP="00F40718">
      <w:pPr>
        <w:numPr>
          <w:ilvl w:val="0"/>
          <w:numId w:val="2"/>
        </w:numPr>
        <w:rPr>
          <w:rFonts w:ascii="Calibri" w:hAnsi="Calibri"/>
        </w:rPr>
      </w:pPr>
      <w:r w:rsidRPr="00161A79">
        <w:rPr>
          <w:rFonts w:ascii="Calibri" w:hAnsi="Calibri"/>
        </w:rPr>
        <w:t>Observed mistreatment or abuse based on race, color, creed, religion, gender, age, sexual orientation, gender expression, national origin, disability, or citizen, marital, veteran, or HIV status.</w:t>
      </w:r>
    </w:p>
    <w:p w:rsidR="00300113" w:rsidRPr="00161A79" w:rsidRDefault="00300113" w:rsidP="00F40718">
      <w:pPr>
        <w:rPr>
          <w:rFonts w:ascii="Calibri" w:hAnsi="Calibri"/>
        </w:rPr>
      </w:pPr>
    </w:p>
    <w:p w:rsidR="00300113" w:rsidRPr="00161A79" w:rsidRDefault="00B32F0D" w:rsidP="00F40718">
      <w:pPr>
        <w:rPr>
          <w:rFonts w:ascii="Calibri" w:hAnsi="Calibri"/>
        </w:rPr>
      </w:pPr>
      <w:r w:rsidRPr="00161A79">
        <w:rPr>
          <w:rFonts w:ascii="Calibri" w:hAnsi="Calibri"/>
        </w:rPr>
        <w:t xml:space="preserve">As one of the important purposes of </w:t>
      </w:r>
      <w:r w:rsidR="005E4D9E" w:rsidRPr="007F40AA">
        <w:rPr>
          <w:rFonts w:ascii="Calibri" w:hAnsi="Calibri"/>
        </w:rPr>
        <w:t>incident</w:t>
      </w:r>
      <w:r w:rsidR="004750C3" w:rsidRPr="00161A79">
        <w:rPr>
          <w:rFonts w:ascii="Calibri" w:hAnsi="Calibri"/>
        </w:rPr>
        <w:t xml:space="preserve"> </w:t>
      </w:r>
      <w:r w:rsidR="005E4D9E" w:rsidRPr="007F40AA">
        <w:rPr>
          <w:rFonts w:ascii="Calibri" w:hAnsi="Calibri"/>
        </w:rPr>
        <w:t>r</w:t>
      </w:r>
      <w:r w:rsidRPr="00161A79">
        <w:rPr>
          <w:rFonts w:ascii="Calibri" w:hAnsi="Calibri"/>
        </w:rPr>
        <w:t xml:space="preserve">eporting is to </w:t>
      </w:r>
      <w:r w:rsidR="005E4D9E" w:rsidRPr="007F40AA">
        <w:rPr>
          <w:rFonts w:ascii="Calibri" w:hAnsi="Calibri"/>
        </w:rPr>
        <w:t xml:space="preserve">help mitigate the risk of </w:t>
      </w:r>
      <w:r w:rsidRPr="00161A79">
        <w:rPr>
          <w:rFonts w:ascii="Calibri" w:hAnsi="Calibri"/>
        </w:rPr>
        <w:t>future incidents, e</w:t>
      </w:r>
      <w:r w:rsidR="00300113" w:rsidRPr="00161A79">
        <w:rPr>
          <w:rFonts w:ascii="Calibri" w:hAnsi="Calibri"/>
        </w:rPr>
        <w:t xml:space="preserve">mployees are encouraged to report </w:t>
      </w:r>
      <w:r w:rsidRPr="00161A79">
        <w:rPr>
          <w:rFonts w:ascii="Calibri" w:hAnsi="Calibri"/>
        </w:rPr>
        <w:t>“</w:t>
      </w:r>
      <w:r w:rsidR="00300113" w:rsidRPr="00161A79">
        <w:rPr>
          <w:rFonts w:ascii="Calibri" w:hAnsi="Calibri"/>
        </w:rPr>
        <w:t>close-calls</w:t>
      </w:r>
      <w:r w:rsidRPr="00161A79">
        <w:rPr>
          <w:rFonts w:ascii="Calibri" w:hAnsi="Calibri"/>
        </w:rPr>
        <w:t>”</w:t>
      </w:r>
      <w:r w:rsidR="00300113" w:rsidRPr="00161A79">
        <w:rPr>
          <w:rFonts w:ascii="Calibri" w:hAnsi="Calibri"/>
        </w:rPr>
        <w:t xml:space="preserve"> so that they can be addressed in order to prevent future</w:t>
      </w:r>
      <w:r w:rsidR="000D0CBE" w:rsidRPr="00161A79">
        <w:rPr>
          <w:rFonts w:ascii="Calibri" w:hAnsi="Calibri"/>
        </w:rPr>
        <w:t xml:space="preserve"> </w:t>
      </w:r>
      <w:r w:rsidR="00300113" w:rsidRPr="00161A79">
        <w:rPr>
          <w:rFonts w:ascii="Calibri" w:hAnsi="Calibri"/>
        </w:rPr>
        <w:t xml:space="preserve">incidents. Examples of </w:t>
      </w:r>
      <w:r w:rsidR="000D0CBE" w:rsidRPr="00161A79">
        <w:rPr>
          <w:rFonts w:ascii="Calibri" w:hAnsi="Calibri"/>
        </w:rPr>
        <w:t xml:space="preserve">events which </w:t>
      </w:r>
      <w:r w:rsidR="00982B04" w:rsidRPr="007F40AA">
        <w:rPr>
          <w:rFonts w:ascii="Calibri" w:hAnsi="Calibri"/>
        </w:rPr>
        <w:t xml:space="preserve">can </w:t>
      </w:r>
      <w:r w:rsidR="000D0CBE" w:rsidRPr="00161A79">
        <w:rPr>
          <w:rFonts w:ascii="Calibri" w:hAnsi="Calibri"/>
        </w:rPr>
        <w:t xml:space="preserve">be classified as </w:t>
      </w:r>
      <w:r w:rsidR="00300113" w:rsidRPr="00161A79">
        <w:rPr>
          <w:rFonts w:ascii="Calibri" w:hAnsi="Calibri"/>
        </w:rPr>
        <w:t>close-calls include but are not limited to:</w:t>
      </w:r>
    </w:p>
    <w:p w:rsidR="00300113" w:rsidRPr="00161A79" w:rsidRDefault="00300113" w:rsidP="00300113">
      <w:pPr>
        <w:numPr>
          <w:ilvl w:val="0"/>
          <w:numId w:val="5"/>
        </w:numPr>
        <w:rPr>
          <w:rFonts w:ascii="Calibri" w:hAnsi="Calibri"/>
        </w:rPr>
      </w:pPr>
      <w:r w:rsidRPr="00161A79">
        <w:rPr>
          <w:rFonts w:ascii="Calibri" w:hAnsi="Calibri"/>
        </w:rPr>
        <w:t>Hazardous situations which did not cause actual harm to a person (e.g., improper disposal of sharps not resulting in injury or exposure)</w:t>
      </w:r>
    </w:p>
    <w:p w:rsidR="00300113" w:rsidRPr="00161A79" w:rsidRDefault="00C260AB" w:rsidP="00300113">
      <w:pPr>
        <w:numPr>
          <w:ilvl w:val="0"/>
          <w:numId w:val="5"/>
        </w:numPr>
        <w:rPr>
          <w:rFonts w:ascii="Calibri" w:hAnsi="Calibri"/>
        </w:rPr>
      </w:pPr>
      <w:r w:rsidRPr="00161A79">
        <w:rPr>
          <w:rFonts w:ascii="Calibri" w:hAnsi="Calibri"/>
        </w:rPr>
        <w:t>Systems/operations issues</w:t>
      </w:r>
      <w:r w:rsidR="000D0CBE" w:rsidRPr="00161A79">
        <w:rPr>
          <w:rFonts w:ascii="Calibri" w:hAnsi="Calibri"/>
        </w:rPr>
        <w:t xml:space="preserve"> </w:t>
      </w:r>
      <w:r w:rsidRPr="00161A79">
        <w:rPr>
          <w:rFonts w:ascii="Calibri" w:hAnsi="Calibri"/>
        </w:rPr>
        <w:t>that are identified and corrected, but that could have resulted in errors, such as billing errors, documentation errors, or breaches.</w:t>
      </w:r>
    </w:p>
    <w:p w:rsidR="00300113" w:rsidRPr="00161A79" w:rsidRDefault="00300113" w:rsidP="00F40718">
      <w:pPr>
        <w:rPr>
          <w:rFonts w:ascii="Calibri" w:hAnsi="Calibri"/>
        </w:rPr>
      </w:pPr>
    </w:p>
    <w:p w:rsidR="00F40718" w:rsidRPr="00161A79" w:rsidRDefault="00FB6CCF" w:rsidP="00F40718">
      <w:pPr>
        <w:rPr>
          <w:rFonts w:ascii="Calibri" w:hAnsi="Calibri"/>
          <w:u w:val="single"/>
        </w:rPr>
      </w:pPr>
      <w:r w:rsidRPr="00161A79">
        <w:rPr>
          <w:rFonts w:ascii="Calibri" w:hAnsi="Calibri"/>
          <w:u w:val="single"/>
        </w:rPr>
        <w:t>State-Reportable Incidents</w:t>
      </w:r>
    </w:p>
    <w:p w:rsidR="00463458" w:rsidRPr="00161A79" w:rsidRDefault="004B0334" w:rsidP="00F40718">
      <w:pPr>
        <w:rPr>
          <w:rFonts w:ascii="Calibri" w:hAnsi="Calibri"/>
        </w:rPr>
      </w:pPr>
      <w:r>
        <w:rPr>
          <w:rFonts w:ascii="Calibri" w:hAnsi="Calibri"/>
        </w:rPr>
        <w:t>_____________</w:t>
      </w:r>
      <w:r w:rsidR="00463458" w:rsidRPr="00161A79">
        <w:rPr>
          <w:rFonts w:ascii="Calibri" w:hAnsi="Calibri"/>
        </w:rPr>
        <w:t xml:space="preserve"> is licensed by the New York State Department of Health (DOH) as an Article 28 </w:t>
      </w:r>
      <w:r w:rsidR="002F341F" w:rsidRPr="00161A79">
        <w:rPr>
          <w:rFonts w:ascii="Calibri" w:hAnsi="Calibri"/>
        </w:rPr>
        <w:t>D</w:t>
      </w:r>
      <w:r w:rsidR="00463458" w:rsidRPr="00161A79">
        <w:rPr>
          <w:rFonts w:ascii="Calibri" w:hAnsi="Calibri"/>
        </w:rPr>
        <w:t xml:space="preserve">iagnostic &amp; </w:t>
      </w:r>
      <w:r w:rsidR="002F341F" w:rsidRPr="00161A79">
        <w:rPr>
          <w:rFonts w:ascii="Calibri" w:hAnsi="Calibri"/>
        </w:rPr>
        <w:t>T</w:t>
      </w:r>
      <w:r w:rsidR="00463458" w:rsidRPr="00161A79">
        <w:rPr>
          <w:rFonts w:ascii="Calibri" w:hAnsi="Calibri"/>
        </w:rPr>
        <w:t xml:space="preserve">reatment </w:t>
      </w:r>
      <w:r w:rsidR="002F341F" w:rsidRPr="00161A79">
        <w:rPr>
          <w:rFonts w:ascii="Calibri" w:hAnsi="Calibri"/>
        </w:rPr>
        <w:t>C</w:t>
      </w:r>
      <w:r w:rsidR="00463458" w:rsidRPr="00161A79">
        <w:rPr>
          <w:rFonts w:ascii="Calibri" w:hAnsi="Calibri"/>
        </w:rPr>
        <w:t xml:space="preserve">enter, and by the New York State Office of Mental Health (OMH) as an Article 31 </w:t>
      </w:r>
      <w:r w:rsidR="002F341F" w:rsidRPr="00161A79">
        <w:rPr>
          <w:rFonts w:ascii="Calibri" w:hAnsi="Calibri"/>
        </w:rPr>
        <w:t>Clinic Treatment Program</w:t>
      </w:r>
      <w:r w:rsidR="00463458" w:rsidRPr="00161A79">
        <w:rPr>
          <w:rFonts w:ascii="Calibri" w:hAnsi="Calibri"/>
        </w:rPr>
        <w:t xml:space="preserve">. Certain </w:t>
      </w:r>
      <w:r w:rsidR="005844E4" w:rsidRPr="00161A79">
        <w:rPr>
          <w:rFonts w:ascii="Calibri" w:hAnsi="Calibri"/>
        </w:rPr>
        <w:t xml:space="preserve">incidents are required to be reported to the </w:t>
      </w:r>
      <w:r w:rsidR="00F40718" w:rsidRPr="00161A79">
        <w:rPr>
          <w:rFonts w:ascii="Calibri" w:hAnsi="Calibri"/>
        </w:rPr>
        <w:t xml:space="preserve">New York State Department of Health, </w:t>
      </w:r>
      <w:r w:rsidR="00463458" w:rsidRPr="00161A79">
        <w:rPr>
          <w:rFonts w:ascii="Calibri" w:hAnsi="Calibri"/>
        </w:rPr>
        <w:t>or to the New York State Office of Mental Health.</w:t>
      </w:r>
      <w:r w:rsidR="005844E4" w:rsidRPr="00161A79">
        <w:rPr>
          <w:rFonts w:ascii="Calibri" w:hAnsi="Calibri"/>
        </w:rPr>
        <w:t xml:space="preserve"> </w:t>
      </w:r>
    </w:p>
    <w:p w:rsidR="00463458" w:rsidRPr="00161A79" w:rsidRDefault="00463458" w:rsidP="00F40718">
      <w:pPr>
        <w:rPr>
          <w:rFonts w:ascii="Calibri" w:hAnsi="Calibri"/>
        </w:rPr>
      </w:pPr>
    </w:p>
    <w:p w:rsidR="00F40718" w:rsidRPr="00161A79" w:rsidRDefault="005844E4" w:rsidP="00F40718">
      <w:pPr>
        <w:rPr>
          <w:rFonts w:ascii="Calibri" w:hAnsi="Calibri"/>
        </w:rPr>
      </w:pPr>
      <w:r w:rsidRPr="00161A79">
        <w:rPr>
          <w:rFonts w:ascii="Calibri" w:hAnsi="Calibri"/>
        </w:rPr>
        <w:t xml:space="preserve">Reporting </w:t>
      </w:r>
      <w:r w:rsidR="00463458" w:rsidRPr="00161A79">
        <w:rPr>
          <w:rFonts w:ascii="Calibri" w:hAnsi="Calibri"/>
        </w:rPr>
        <w:t xml:space="preserve">to the DOH </w:t>
      </w:r>
      <w:r w:rsidRPr="00161A79">
        <w:rPr>
          <w:rFonts w:ascii="Calibri" w:hAnsi="Calibri"/>
        </w:rPr>
        <w:t xml:space="preserve">occurs through the Health Commerce System portal, via the </w:t>
      </w:r>
      <w:r w:rsidR="00463458" w:rsidRPr="00161A79">
        <w:rPr>
          <w:rFonts w:ascii="Calibri" w:hAnsi="Calibri"/>
        </w:rPr>
        <w:t xml:space="preserve">internet-based </w:t>
      </w:r>
      <w:r w:rsidRPr="00161A79">
        <w:rPr>
          <w:rFonts w:ascii="Calibri" w:hAnsi="Calibri"/>
        </w:rPr>
        <w:t xml:space="preserve">NYPORTS reporting system. </w:t>
      </w:r>
      <w:r w:rsidR="00463458" w:rsidRPr="00161A79">
        <w:rPr>
          <w:rFonts w:ascii="Calibri" w:hAnsi="Calibri"/>
        </w:rPr>
        <w:t xml:space="preserve">State-reportable incidents </w:t>
      </w:r>
      <w:r w:rsidR="004309F9" w:rsidRPr="00161A79">
        <w:rPr>
          <w:rFonts w:ascii="Calibri" w:hAnsi="Calibri"/>
        </w:rPr>
        <w:t>ar</w:t>
      </w:r>
      <w:r w:rsidR="00463458" w:rsidRPr="00161A79">
        <w:rPr>
          <w:rFonts w:ascii="Calibri" w:hAnsi="Calibri"/>
        </w:rPr>
        <w:t>e filed within 2</w:t>
      </w:r>
      <w:r w:rsidRPr="00161A79">
        <w:rPr>
          <w:rFonts w:ascii="Calibri" w:hAnsi="Calibri"/>
        </w:rPr>
        <w:t>4 hours of the incident occurrence,</w:t>
      </w:r>
      <w:r w:rsidR="008D7748" w:rsidRPr="007F40AA">
        <w:rPr>
          <w:rFonts w:ascii="Calibri" w:hAnsi="Calibri"/>
        </w:rPr>
        <w:t xml:space="preserve"> or within 24 hours of notification,</w:t>
      </w:r>
      <w:r w:rsidRPr="00161A79">
        <w:rPr>
          <w:rFonts w:ascii="Calibri" w:hAnsi="Calibri"/>
        </w:rPr>
        <w:t xml:space="preserve"> and may be completed by the</w:t>
      </w:r>
      <w:r w:rsidR="008D7748" w:rsidRPr="007F40AA">
        <w:rPr>
          <w:rFonts w:ascii="Calibri" w:hAnsi="Calibri"/>
        </w:rPr>
        <w:t xml:space="preserve"> Manager of</w:t>
      </w:r>
      <w:r w:rsidRPr="00161A79">
        <w:rPr>
          <w:rFonts w:ascii="Calibri" w:hAnsi="Calibri"/>
        </w:rPr>
        <w:t xml:space="preserve"> Compliance</w:t>
      </w:r>
      <w:r w:rsidR="00135B62" w:rsidRPr="00161A79">
        <w:rPr>
          <w:rFonts w:ascii="Calibri" w:hAnsi="Calibri"/>
        </w:rPr>
        <w:t xml:space="preserve"> and Risk Management or </w:t>
      </w:r>
      <w:r w:rsidR="008D7748" w:rsidRPr="007F40AA">
        <w:rPr>
          <w:rFonts w:ascii="Calibri" w:hAnsi="Calibri"/>
        </w:rPr>
        <w:t xml:space="preserve">the Director of </w:t>
      </w:r>
      <w:r w:rsidR="00135B62" w:rsidRPr="00161A79">
        <w:rPr>
          <w:rFonts w:ascii="Calibri" w:hAnsi="Calibri"/>
        </w:rPr>
        <w:t>Compliance and Risk Management</w:t>
      </w:r>
      <w:r w:rsidRPr="00161A79">
        <w:rPr>
          <w:rFonts w:ascii="Calibri" w:hAnsi="Calibri"/>
        </w:rPr>
        <w:t xml:space="preserve">. </w:t>
      </w:r>
      <w:r w:rsidRPr="00161A79">
        <w:rPr>
          <w:rFonts w:ascii="Calibri" w:hAnsi="Calibri"/>
          <w:b/>
        </w:rPr>
        <w:t xml:space="preserve">See list of </w:t>
      </w:r>
      <w:r w:rsidR="00463458" w:rsidRPr="00161A79">
        <w:rPr>
          <w:rFonts w:ascii="Calibri" w:hAnsi="Calibri"/>
          <w:b/>
        </w:rPr>
        <w:t>DOH</w:t>
      </w:r>
      <w:r w:rsidRPr="00161A79">
        <w:rPr>
          <w:rFonts w:ascii="Calibri" w:hAnsi="Calibri"/>
          <w:b/>
        </w:rPr>
        <w:t xml:space="preserve">-reportable </w:t>
      </w:r>
      <w:r w:rsidR="002340C5" w:rsidRPr="00161A79">
        <w:rPr>
          <w:rFonts w:ascii="Calibri" w:hAnsi="Calibri"/>
          <w:b/>
        </w:rPr>
        <w:t>incidents</w:t>
      </w:r>
      <w:r w:rsidRPr="00161A79">
        <w:rPr>
          <w:rFonts w:ascii="Calibri" w:hAnsi="Calibri"/>
          <w:b/>
        </w:rPr>
        <w:t xml:space="preserve">. </w:t>
      </w:r>
    </w:p>
    <w:p w:rsidR="00F40718" w:rsidRPr="00161A79" w:rsidRDefault="00F40718" w:rsidP="00F40718">
      <w:pPr>
        <w:rPr>
          <w:rFonts w:ascii="Calibri" w:hAnsi="Calibri"/>
        </w:rPr>
      </w:pPr>
    </w:p>
    <w:p w:rsidR="00F40718" w:rsidRPr="00161A79" w:rsidRDefault="00463458" w:rsidP="00F40718">
      <w:pPr>
        <w:rPr>
          <w:rFonts w:ascii="Calibri" w:hAnsi="Calibri"/>
        </w:rPr>
      </w:pPr>
      <w:r w:rsidRPr="00161A79">
        <w:rPr>
          <w:rFonts w:ascii="Calibri" w:hAnsi="Calibri"/>
        </w:rPr>
        <w:t xml:space="preserve">Reporting to OMH occurs through the internet-based </w:t>
      </w:r>
      <w:r w:rsidR="008D7748" w:rsidRPr="007F40AA">
        <w:rPr>
          <w:rFonts w:ascii="Calibri" w:hAnsi="Calibri"/>
        </w:rPr>
        <w:t>New York Incident Management and Reporting System (</w:t>
      </w:r>
      <w:r w:rsidRPr="00161A79">
        <w:rPr>
          <w:rFonts w:ascii="Calibri" w:hAnsi="Calibri"/>
        </w:rPr>
        <w:t>NIMRS</w:t>
      </w:r>
      <w:r w:rsidR="008D7748" w:rsidRPr="007F40AA">
        <w:rPr>
          <w:rFonts w:ascii="Calibri" w:hAnsi="Calibri"/>
        </w:rPr>
        <w:t>).</w:t>
      </w:r>
      <w:r w:rsidRPr="00161A79">
        <w:rPr>
          <w:rFonts w:ascii="Calibri" w:hAnsi="Calibri"/>
        </w:rPr>
        <w:t xml:space="preserve"> Incidents </w:t>
      </w:r>
      <w:r w:rsidR="004309F9" w:rsidRPr="00161A79">
        <w:rPr>
          <w:rFonts w:ascii="Calibri" w:hAnsi="Calibri"/>
        </w:rPr>
        <w:t>ar</w:t>
      </w:r>
      <w:r w:rsidRPr="00161A79">
        <w:rPr>
          <w:rFonts w:ascii="Calibri" w:hAnsi="Calibri"/>
        </w:rPr>
        <w:t>e reported by the</w:t>
      </w:r>
      <w:r w:rsidR="002F341F" w:rsidRPr="00161A79">
        <w:rPr>
          <w:rFonts w:ascii="Calibri" w:hAnsi="Calibri"/>
        </w:rPr>
        <w:t xml:space="preserve"> </w:t>
      </w:r>
      <w:r w:rsidRPr="00161A79">
        <w:rPr>
          <w:rFonts w:ascii="Calibri" w:hAnsi="Calibri"/>
        </w:rPr>
        <w:t xml:space="preserve">Director of </w:t>
      </w:r>
      <w:proofErr w:type="gramStart"/>
      <w:r w:rsidR="002340C5" w:rsidRPr="00161A79">
        <w:rPr>
          <w:rFonts w:ascii="Calibri" w:hAnsi="Calibri"/>
        </w:rPr>
        <w:t>Psychiat</w:t>
      </w:r>
      <w:r w:rsidR="008D7748" w:rsidRPr="007F40AA">
        <w:rPr>
          <w:rFonts w:ascii="Calibri" w:hAnsi="Calibri"/>
        </w:rPr>
        <w:t>ry</w:t>
      </w:r>
      <w:r w:rsidR="00D20624" w:rsidRPr="00161A79">
        <w:rPr>
          <w:rFonts w:ascii="Calibri" w:hAnsi="Calibri"/>
        </w:rPr>
        <w:t xml:space="preserve"> </w:t>
      </w:r>
      <w:r w:rsidR="002340C5" w:rsidRPr="00161A79">
        <w:rPr>
          <w:rFonts w:ascii="Calibri" w:hAnsi="Calibri"/>
        </w:rPr>
        <w:t>,</w:t>
      </w:r>
      <w:proofErr w:type="gramEnd"/>
      <w:r w:rsidR="002340C5" w:rsidRPr="00161A79">
        <w:rPr>
          <w:rFonts w:ascii="Calibri" w:hAnsi="Calibri"/>
        </w:rPr>
        <w:t xml:space="preserve"> </w:t>
      </w:r>
      <w:r w:rsidR="000E0542" w:rsidRPr="00161A79">
        <w:rPr>
          <w:rFonts w:ascii="Calibri" w:hAnsi="Calibri"/>
        </w:rPr>
        <w:t xml:space="preserve">or the Manager of </w:t>
      </w:r>
      <w:r w:rsidR="008D7748" w:rsidRPr="007F40AA">
        <w:rPr>
          <w:rFonts w:ascii="Calibri" w:hAnsi="Calibri"/>
        </w:rPr>
        <w:t>Behavioral Health</w:t>
      </w:r>
      <w:r w:rsidR="002340C5" w:rsidRPr="00161A79">
        <w:rPr>
          <w:rFonts w:ascii="Calibri" w:hAnsi="Calibri"/>
        </w:rPr>
        <w:t xml:space="preserve">. </w:t>
      </w:r>
      <w:r w:rsidR="002340C5" w:rsidRPr="00161A79">
        <w:rPr>
          <w:rFonts w:ascii="Calibri" w:hAnsi="Calibri"/>
          <w:b/>
        </w:rPr>
        <w:t xml:space="preserve">See list of OMH-reportable incidents. </w:t>
      </w:r>
    </w:p>
    <w:p w:rsidR="000F69F6" w:rsidRPr="00161A79" w:rsidRDefault="000F69F6" w:rsidP="00F40718">
      <w:pPr>
        <w:rPr>
          <w:rFonts w:ascii="Calibri" w:hAnsi="Calibri"/>
        </w:rPr>
      </w:pPr>
    </w:p>
    <w:p w:rsidR="00F40718" w:rsidRPr="00161A79" w:rsidRDefault="00F40718" w:rsidP="00F40718">
      <w:pPr>
        <w:rPr>
          <w:rFonts w:ascii="Calibri" w:hAnsi="Calibri"/>
        </w:rPr>
      </w:pPr>
      <w:r w:rsidRPr="00161A79">
        <w:rPr>
          <w:rFonts w:ascii="Calibri" w:hAnsi="Calibri"/>
        </w:rPr>
        <w:t>The</w:t>
      </w:r>
      <w:r w:rsidR="000F69F6" w:rsidRPr="00161A79">
        <w:rPr>
          <w:rFonts w:ascii="Calibri" w:hAnsi="Calibri"/>
        </w:rPr>
        <w:t>se</w:t>
      </w:r>
      <w:r w:rsidRPr="00161A79">
        <w:rPr>
          <w:rFonts w:ascii="Calibri" w:hAnsi="Calibri"/>
        </w:rPr>
        <w:t xml:space="preserve"> reporting mechanism</w:t>
      </w:r>
      <w:r w:rsidR="000F69F6" w:rsidRPr="00161A79">
        <w:rPr>
          <w:rFonts w:ascii="Calibri" w:hAnsi="Calibri"/>
        </w:rPr>
        <w:t>s</w:t>
      </w:r>
      <w:r w:rsidRPr="00161A79">
        <w:rPr>
          <w:rFonts w:ascii="Calibri" w:hAnsi="Calibri"/>
        </w:rPr>
        <w:t xml:space="preserve"> enable </w:t>
      </w:r>
      <w:r w:rsidR="000F69F6" w:rsidRPr="00161A79">
        <w:rPr>
          <w:rFonts w:ascii="Calibri" w:hAnsi="Calibri"/>
        </w:rPr>
        <w:t>DOH and OMH</w:t>
      </w:r>
      <w:r w:rsidRPr="00161A79">
        <w:rPr>
          <w:rFonts w:ascii="Calibri" w:hAnsi="Calibri"/>
        </w:rPr>
        <w:t xml:space="preserve"> to ensure that the staff of Callen-Lorde becomes aware of problems which could threaten the safety of patients, </w:t>
      </w:r>
      <w:r w:rsidR="000F69F6" w:rsidRPr="00161A79">
        <w:rPr>
          <w:rFonts w:ascii="Calibri" w:hAnsi="Calibri"/>
        </w:rPr>
        <w:t xml:space="preserve">and </w:t>
      </w:r>
      <w:r w:rsidRPr="00161A79">
        <w:rPr>
          <w:rFonts w:ascii="Calibri" w:hAnsi="Calibri"/>
        </w:rPr>
        <w:t>take corrective measures and minimize the potential for recurrence of the same or similar events or situations. The objective of these regulations is to assure the delivery of quality patient care.</w:t>
      </w:r>
    </w:p>
    <w:p w:rsidR="00C260AB" w:rsidRPr="00161A79" w:rsidRDefault="00C260AB" w:rsidP="00F40718">
      <w:pPr>
        <w:rPr>
          <w:rFonts w:ascii="Calibri" w:hAnsi="Calibri"/>
        </w:rPr>
      </w:pPr>
    </w:p>
    <w:p w:rsidR="00FB6CCF" w:rsidRPr="00161A79" w:rsidRDefault="007844C5" w:rsidP="00F40718">
      <w:pPr>
        <w:rPr>
          <w:rFonts w:ascii="Calibri" w:hAnsi="Calibri"/>
          <w:u w:val="single"/>
        </w:rPr>
      </w:pPr>
      <w:r w:rsidRPr="00161A79">
        <w:rPr>
          <w:rFonts w:ascii="Calibri" w:hAnsi="Calibri"/>
          <w:u w:val="single"/>
        </w:rPr>
        <w:t xml:space="preserve">Transfer to Hospital via </w:t>
      </w:r>
      <w:r w:rsidR="00FB6CCF" w:rsidRPr="00161A79">
        <w:rPr>
          <w:rFonts w:ascii="Calibri" w:hAnsi="Calibri"/>
          <w:u w:val="single"/>
        </w:rPr>
        <w:t>E</w:t>
      </w:r>
      <w:r w:rsidR="00BE7699" w:rsidRPr="00161A79">
        <w:rPr>
          <w:rFonts w:ascii="Calibri" w:hAnsi="Calibri"/>
          <w:u w:val="single"/>
        </w:rPr>
        <w:t xml:space="preserve">mergency </w:t>
      </w:r>
      <w:r w:rsidR="00FB6CCF" w:rsidRPr="00161A79">
        <w:rPr>
          <w:rFonts w:ascii="Calibri" w:hAnsi="Calibri"/>
          <w:u w:val="single"/>
        </w:rPr>
        <w:t>M</w:t>
      </w:r>
      <w:r w:rsidR="00BE7699" w:rsidRPr="00161A79">
        <w:rPr>
          <w:rFonts w:ascii="Calibri" w:hAnsi="Calibri"/>
          <w:u w:val="single"/>
        </w:rPr>
        <w:t xml:space="preserve">edical </w:t>
      </w:r>
      <w:r w:rsidR="00FB6CCF" w:rsidRPr="00161A79">
        <w:rPr>
          <w:rFonts w:ascii="Calibri" w:hAnsi="Calibri"/>
          <w:u w:val="single"/>
        </w:rPr>
        <w:t>S</w:t>
      </w:r>
      <w:r w:rsidR="00BE7699" w:rsidRPr="00161A79">
        <w:rPr>
          <w:rFonts w:ascii="Calibri" w:hAnsi="Calibri"/>
          <w:u w:val="single"/>
        </w:rPr>
        <w:t>ervices (</w:t>
      </w:r>
      <w:smartTag w:uri="urn:schemas-microsoft-com:office:smarttags" w:element="place">
        <w:r w:rsidR="00BE7699" w:rsidRPr="00161A79">
          <w:rPr>
            <w:rFonts w:ascii="Calibri" w:hAnsi="Calibri"/>
            <w:u w:val="single"/>
          </w:rPr>
          <w:t>EMS</w:t>
        </w:r>
      </w:smartTag>
      <w:r w:rsidR="00BE7699" w:rsidRPr="00161A79">
        <w:rPr>
          <w:rFonts w:ascii="Calibri" w:hAnsi="Calibri"/>
          <w:u w:val="single"/>
        </w:rPr>
        <w:t>)</w:t>
      </w:r>
      <w:r w:rsidR="00FB6CCF" w:rsidRPr="00161A79">
        <w:rPr>
          <w:rFonts w:ascii="Calibri" w:hAnsi="Calibri"/>
          <w:u w:val="single"/>
        </w:rPr>
        <w:t xml:space="preserve"> </w:t>
      </w:r>
    </w:p>
    <w:p w:rsidR="00C260AB" w:rsidRPr="00161A79" w:rsidRDefault="002F341F" w:rsidP="00F40718">
      <w:pPr>
        <w:rPr>
          <w:rFonts w:ascii="Calibri" w:hAnsi="Calibri"/>
          <w:b/>
          <w:bCs/>
        </w:rPr>
        <w:sectPr w:rsidR="00C260AB" w:rsidRPr="00161A79" w:rsidSect="00C8062E">
          <w:footerReference w:type="default" r:id="rId7"/>
          <w:pgSz w:w="12240" w:h="15840"/>
          <w:pgMar w:top="1008" w:right="1152" w:bottom="1008" w:left="1440" w:header="1440" w:footer="720" w:gutter="0"/>
          <w:cols w:space="720"/>
          <w:noEndnote/>
        </w:sectPr>
      </w:pPr>
      <w:r w:rsidRPr="00161A79">
        <w:rPr>
          <w:rFonts w:ascii="Calibri" w:hAnsi="Calibri"/>
        </w:rPr>
        <w:t xml:space="preserve">A hospital transfer is </w:t>
      </w:r>
      <w:r w:rsidR="000E0542" w:rsidRPr="00161A79">
        <w:rPr>
          <w:rFonts w:ascii="Calibri" w:hAnsi="Calibri"/>
        </w:rPr>
        <w:t>when a</w:t>
      </w:r>
      <w:r w:rsidR="00FB6CCF" w:rsidRPr="00161A79">
        <w:rPr>
          <w:rFonts w:ascii="Calibri" w:hAnsi="Calibri"/>
        </w:rPr>
        <w:t xml:space="preserve"> patient presents for care at </w:t>
      </w:r>
      <w:r w:rsidR="004B0334">
        <w:rPr>
          <w:rFonts w:ascii="Calibri" w:hAnsi="Calibri"/>
        </w:rPr>
        <w:t>______________</w:t>
      </w:r>
      <w:r w:rsidR="00BE7699" w:rsidRPr="00161A79">
        <w:rPr>
          <w:rFonts w:ascii="Calibri" w:hAnsi="Calibri"/>
        </w:rPr>
        <w:t>and a clinician, (</w:t>
      </w:r>
      <w:r w:rsidR="00FB6CCF" w:rsidRPr="00161A79">
        <w:rPr>
          <w:rFonts w:ascii="Calibri" w:hAnsi="Calibri"/>
        </w:rPr>
        <w:t>a nurse</w:t>
      </w:r>
      <w:r w:rsidR="000E0542" w:rsidRPr="00161A79">
        <w:rPr>
          <w:rFonts w:ascii="Calibri" w:hAnsi="Calibri"/>
        </w:rPr>
        <w:t>, medical</w:t>
      </w:r>
      <w:r w:rsidR="00FB6CCF" w:rsidRPr="00161A79">
        <w:rPr>
          <w:rFonts w:ascii="Calibri" w:hAnsi="Calibri"/>
        </w:rPr>
        <w:t xml:space="preserve"> provider </w:t>
      </w:r>
      <w:r w:rsidR="00BE7699" w:rsidRPr="00161A79">
        <w:rPr>
          <w:rFonts w:ascii="Calibri" w:hAnsi="Calibri"/>
        </w:rPr>
        <w:t xml:space="preserve">or mental health provider) </w:t>
      </w:r>
      <w:r w:rsidR="00FB6CCF" w:rsidRPr="00161A79">
        <w:rPr>
          <w:rFonts w:ascii="Calibri" w:hAnsi="Calibri"/>
        </w:rPr>
        <w:t xml:space="preserve">determines that the patient requires </w:t>
      </w:r>
      <w:r w:rsidR="000E0542" w:rsidRPr="00161A79">
        <w:rPr>
          <w:rFonts w:ascii="Calibri" w:hAnsi="Calibri"/>
        </w:rPr>
        <w:t>immediate treatment</w:t>
      </w:r>
      <w:r w:rsidR="00FB6CCF" w:rsidRPr="00161A79">
        <w:rPr>
          <w:rFonts w:ascii="Calibri" w:hAnsi="Calibri"/>
        </w:rPr>
        <w:t xml:space="preserve"> </w:t>
      </w:r>
      <w:r w:rsidR="00BE7699" w:rsidRPr="00161A79">
        <w:rPr>
          <w:rFonts w:ascii="Calibri" w:hAnsi="Calibri"/>
        </w:rPr>
        <w:t xml:space="preserve">or stabilization beyond </w:t>
      </w:r>
      <w:r w:rsidR="00FB6CCF" w:rsidRPr="00161A79">
        <w:rPr>
          <w:rFonts w:ascii="Calibri" w:hAnsi="Calibri"/>
        </w:rPr>
        <w:t xml:space="preserve">the scope of what </w:t>
      </w:r>
      <w:r w:rsidR="004B0334">
        <w:rPr>
          <w:rFonts w:ascii="Calibri" w:hAnsi="Calibri"/>
        </w:rPr>
        <w:t>______________</w:t>
      </w:r>
      <w:r w:rsidR="00FB6CCF" w:rsidRPr="00161A79">
        <w:rPr>
          <w:rFonts w:ascii="Calibri" w:hAnsi="Calibri"/>
        </w:rPr>
        <w:t xml:space="preserve"> provides, and calls for </w:t>
      </w:r>
      <w:smartTag w:uri="urn:schemas-microsoft-com:office:smarttags" w:element="place">
        <w:r w:rsidR="00FB6CCF" w:rsidRPr="00161A79">
          <w:rPr>
            <w:rFonts w:ascii="Calibri" w:hAnsi="Calibri"/>
          </w:rPr>
          <w:t>EMS</w:t>
        </w:r>
      </w:smartTag>
      <w:r w:rsidR="00FB6CCF" w:rsidRPr="00161A79">
        <w:rPr>
          <w:rFonts w:ascii="Calibri" w:hAnsi="Calibri"/>
        </w:rPr>
        <w:t xml:space="preserve"> transport of the patient to a hospital. These </w:t>
      </w:r>
      <w:r w:rsidR="00C260AB" w:rsidRPr="00161A79">
        <w:rPr>
          <w:rFonts w:ascii="Calibri" w:hAnsi="Calibri"/>
        </w:rPr>
        <w:t xml:space="preserve">ambulance transports are recorded </w:t>
      </w:r>
      <w:r w:rsidR="000E0542" w:rsidRPr="00161A79">
        <w:rPr>
          <w:rFonts w:ascii="Calibri" w:hAnsi="Calibri"/>
        </w:rPr>
        <w:t xml:space="preserve">using the </w:t>
      </w:r>
      <w:r w:rsidR="00BB0DBD" w:rsidRPr="007F40AA">
        <w:rPr>
          <w:rFonts w:ascii="Calibri" w:hAnsi="Calibri"/>
        </w:rPr>
        <w:t>Event</w:t>
      </w:r>
      <w:r w:rsidR="00BB0DBD" w:rsidRPr="00161A79">
        <w:rPr>
          <w:rFonts w:ascii="Calibri" w:hAnsi="Calibri"/>
        </w:rPr>
        <w:t xml:space="preserve"> </w:t>
      </w:r>
      <w:r w:rsidR="00C260AB" w:rsidRPr="00161A79">
        <w:rPr>
          <w:rFonts w:ascii="Calibri" w:hAnsi="Calibri"/>
        </w:rPr>
        <w:t>Report</w:t>
      </w:r>
      <w:r w:rsidR="000E0542" w:rsidRPr="00161A79">
        <w:rPr>
          <w:rFonts w:ascii="Calibri" w:hAnsi="Calibri"/>
        </w:rPr>
        <w:t xml:space="preserve"> </w:t>
      </w:r>
      <w:r w:rsidR="00BB0DBD" w:rsidRPr="007F40AA">
        <w:rPr>
          <w:rFonts w:ascii="Calibri" w:hAnsi="Calibri"/>
        </w:rPr>
        <w:t xml:space="preserve">form </w:t>
      </w:r>
      <w:r w:rsidR="000E0542" w:rsidRPr="00161A79">
        <w:rPr>
          <w:rFonts w:ascii="Calibri" w:hAnsi="Calibri"/>
        </w:rPr>
        <w:t xml:space="preserve">via the Healthcare </w:t>
      </w:r>
      <w:proofErr w:type="spellStart"/>
      <w:r w:rsidR="000E0542" w:rsidRPr="00161A79">
        <w:rPr>
          <w:rFonts w:ascii="Calibri" w:hAnsi="Calibri"/>
        </w:rPr>
        <w:t>SafetyZone</w:t>
      </w:r>
      <w:proofErr w:type="spellEnd"/>
      <w:r w:rsidR="000E0542" w:rsidRPr="00161A79">
        <w:rPr>
          <w:rFonts w:ascii="Calibri" w:hAnsi="Calibri"/>
        </w:rPr>
        <w:t xml:space="preserve"> Portal</w:t>
      </w:r>
      <w:r w:rsidR="00C260AB" w:rsidRPr="00161A79">
        <w:rPr>
          <w:rFonts w:ascii="Calibri" w:hAnsi="Calibri"/>
        </w:rPr>
        <w:t xml:space="preserve">, </w:t>
      </w:r>
      <w:r w:rsidR="00BB0DBD" w:rsidRPr="007F40AA">
        <w:rPr>
          <w:rFonts w:ascii="Calibri" w:hAnsi="Calibri"/>
        </w:rPr>
        <w:t>which notifies the appropriate department to</w:t>
      </w:r>
      <w:r w:rsidR="00C260AB" w:rsidRPr="00161A79">
        <w:rPr>
          <w:rFonts w:ascii="Calibri" w:hAnsi="Calibri"/>
        </w:rPr>
        <w:t xml:space="preserve"> follow-up and document the outcome of the hospital transfer.</w:t>
      </w:r>
      <w:r w:rsidR="00BB0DBD" w:rsidRPr="007F40AA">
        <w:rPr>
          <w:rFonts w:ascii="Calibri" w:hAnsi="Calibri"/>
        </w:rPr>
        <w:t xml:space="preserve"> Patient refusal </w:t>
      </w:r>
      <w:proofErr w:type="gramStart"/>
      <w:r w:rsidR="00BB0DBD" w:rsidRPr="007F40AA">
        <w:rPr>
          <w:rFonts w:ascii="Calibri" w:hAnsi="Calibri"/>
        </w:rPr>
        <w:t>to  EMS</w:t>
      </w:r>
      <w:proofErr w:type="gramEnd"/>
      <w:r w:rsidR="00BB0DBD" w:rsidRPr="007F40AA">
        <w:rPr>
          <w:rFonts w:ascii="Calibri" w:hAnsi="Calibri"/>
        </w:rPr>
        <w:t xml:space="preserve"> transport is also reported, and the same notification systems apply to follow up if necessary. </w:t>
      </w:r>
    </w:p>
    <w:p w:rsidR="00F40718" w:rsidRPr="00161A79" w:rsidRDefault="00F40718" w:rsidP="00F40718">
      <w:pPr>
        <w:rPr>
          <w:rFonts w:ascii="Calibri" w:hAnsi="Calibri"/>
        </w:rPr>
      </w:pPr>
    </w:p>
    <w:p w:rsidR="00FB6CCF" w:rsidRPr="00161A79" w:rsidRDefault="00FB6CCF" w:rsidP="00F40718">
      <w:pPr>
        <w:rPr>
          <w:rFonts w:ascii="Calibri" w:hAnsi="Calibri"/>
          <w:b/>
          <w:u w:val="single"/>
        </w:rPr>
      </w:pPr>
    </w:p>
    <w:p w:rsidR="00300113" w:rsidRPr="00161A79" w:rsidRDefault="00FB6CCF" w:rsidP="00F40718">
      <w:pPr>
        <w:rPr>
          <w:rFonts w:ascii="Calibri" w:hAnsi="Calibri"/>
        </w:rPr>
      </w:pPr>
      <w:r w:rsidRPr="00161A79">
        <w:rPr>
          <w:rFonts w:ascii="Calibri" w:hAnsi="Calibri"/>
          <w:b/>
        </w:rPr>
        <w:lastRenderedPageBreak/>
        <w:t>P</w:t>
      </w:r>
      <w:r w:rsidR="003E20A1" w:rsidRPr="00161A79">
        <w:rPr>
          <w:rFonts w:ascii="Calibri" w:hAnsi="Calibri"/>
          <w:b/>
        </w:rPr>
        <w:t>rocedure:</w:t>
      </w:r>
    </w:p>
    <w:p w:rsidR="00C260AB" w:rsidRPr="00161A79" w:rsidRDefault="000D0CBE" w:rsidP="00300113">
      <w:pPr>
        <w:numPr>
          <w:ilvl w:val="0"/>
          <w:numId w:val="4"/>
        </w:numPr>
        <w:rPr>
          <w:rFonts w:ascii="Calibri" w:hAnsi="Calibri"/>
        </w:rPr>
      </w:pPr>
      <w:r w:rsidRPr="00161A79">
        <w:rPr>
          <w:rFonts w:ascii="Calibri" w:hAnsi="Calibri"/>
        </w:rPr>
        <w:t xml:space="preserve">Staff report all </w:t>
      </w:r>
      <w:r w:rsidR="00B0695E" w:rsidRPr="00161A79">
        <w:rPr>
          <w:rFonts w:ascii="Calibri" w:hAnsi="Calibri"/>
        </w:rPr>
        <w:t xml:space="preserve">events </w:t>
      </w:r>
      <w:r w:rsidRPr="00161A79">
        <w:rPr>
          <w:rFonts w:ascii="Calibri" w:hAnsi="Calibri"/>
        </w:rPr>
        <w:t xml:space="preserve">on </w:t>
      </w:r>
      <w:r w:rsidR="00A9524F" w:rsidRPr="00161A79">
        <w:rPr>
          <w:rFonts w:ascii="Calibri" w:hAnsi="Calibri"/>
        </w:rPr>
        <w:t xml:space="preserve">the Healthcare </w:t>
      </w:r>
      <w:proofErr w:type="spellStart"/>
      <w:r w:rsidR="00A9524F" w:rsidRPr="00161A79">
        <w:rPr>
          <w:rFonts w:ascii="Calibri" w:hAnsi="Calibri"/>
        </w:rPr>
        <w:t>SafetyZone</w:t>
      </w:r>
      <w:proofErr w:type="spellEnd"/>
      <w:r w:rsidR="00A9524F" w:rsidRPr="00161A79">
        <w:rPr>
          <w:rFonts w:ascii="Calibri" w:hAnsi="Calibri"/>
        </w:rPr>
        <w:t xml:space="preserve"> Portal.</w:t>
      </w:r>
      <w:r w:rsidR="00300113" w:rsidRPr="00161A79">
        <w:rPr>
          <w:rFonts w:ascii="Calibri" w:hAnsi="Calibri"/>
        </w:rPr>
        <w:t xml:space="preserve"> </w:t>
      </w:r>
      <w:r w:rsidR="00C260AB" w:rsidRPr="00161A79">
        <w:rPr>
          <w:rFonts w:ascii="Calibri" w:hAnsi="Calibri"/>
        </w:rPr>
        <w:t xml:space="preserve">Staff </w:t>
      </w:r>
      <w:r w:rsidR="00BB0DBD" w:rsidRPr="007F40AA">
        <w:rPr>
          <w:rFonts w:ascii="Calibri" w:hAnsi="Calibri"/>
        </w:rPr>
        <w:t>are also instructed to</w:t>
      </w:r>
      <w:r w:rsidR="00C260AB" w:rsidRPr="00161A79">
        <w:rPr>
          <w:rFonts w:ascii="Calibri" w:hAnsi="Calibri"/>
        </w:rPr>
        <w:t xml:space="preserve"> inform their supervisor</w:t>
      </w:r>
      <w:r w:rsidR="00BB0DBD" w:rsidRPr="007F40AA">
        <w:rPr>
          <w:rFonts w:ascii="Calibri" w:hAnsi="Calibri"/>
        </w:rPr>
        <w:t>s</w:t>
      </w:r>
      <w:r w:rsidR="00C260AB" w:rsidRPr="00161A79">
        <w:rPr>
          <w:rFonts w:ascii="Calibri" w:hAnsi="Calibri"/>
        </w:rPr>
        <w:t xml:space="preserve"> when an incident occurs and may request the assistance of a supervisor in completi</w:t>
      </w:r>
      <w:r w:rsidR="00A9524F" w:rsidRPr="00161A79">
        <w:rPr>
          <w:rFonts w:ascii="Calibri" w:hAnsi="Calibri"/>
        </w:rPr>
        <w:t xml:space="preserve">ng the </w:t>
      </w:r>
      <w:r w:rsidR="00BB0DBD" w:rsidRPr="007F40AA">
        <w:rPr>
          <w:rFonts w:ascii="Calibri" w:hAnsi="Calibri"/>
        </w:rPr>
        <w:t>event</w:t>
      </w:r>
      <w:r w:rsidR="00BB0DBD" w:rsidRPr="00161A79">
        <w:rPr>
          <w:rFonts w:ascii="Calibri" w:hAnsi="Calibri"/>
        </w:rPr>
        <w:t xml:space="preserve"> </w:t>
      </w:r>
      <w:r w:rsidR="00BB0DBD" w:rsidRPr="007F40AA">
        <w:rPr>
          <w:rFonts w:ascii="Calibri" w:hAnsi="Calibri"/>
        </w:rPr>
        <w:t>r</w:t>
      </w:r>
      <w:r w:rsidR="00A9524F" w:rsidRPr="00161A79">
        <w:rPr>
          <w:rFonts w:ascii="Calibri" w:hAnsi="Calibri"/>
        </w:rPr>
        <w:t>eport</w:t>
      </w:r>
      <w:r w:rsidR="00C260AB" w:rsidRPr="00161A79">
        <w:rPr>
          <w:rFonts w:ascii="Calibri" w:hAnsi="Calibri"/>
        </w:rPr>
        <w:t xml:space="preserve">. </w:t>
      </w:r>
      <w:r w:rsidR="00BB0DBD" w:rsidRPr="007F40AA">
        <w:rPr>
          <w:rFonts w:ascii="Calibri" w:hAnsi="Calibri"/>
        </w:rPr>
        <w:t xml:space="preserve">Staff are encouraged to submit </w:t>
      </w:r>
      <w:r w:rsidR="00B0695E" w:rsidRPr="00161A79">
        <w:rPr>
          <w:rFonts w:ascii="Calibri" w:hAnsi="Calibri"/>
        </w:rPr>
        <w:t xml:space="preserve">Event </w:t>
      </w:r>
      <w:r w:rsidR="00A9524F" w:rsidRPr="00161A79">
        <w:rPr>
          <w:rFonts w:ascii="Calibri" w:hAnsi="Calibri"/>
        </w:rPr>
        <w:t xml:space="preserve">Reports </w:t>
      </w:r>
      <w:r w:rsidR="00300113" w:rsidRPr="00161A79">
        <w:rPr>
          <w:rFonts w:ascii="Calibri" w:hAnsi="Calibri"/>
          <w:bCs/>
        </w:rPr>
        <w:t>immediately following the incident</w:t>
      </w:r>
      <w:r w:rsidR="00BB0DBD" w:rsidRPr="00161A79">
        <w:rPr>
          <w:rFonts w:ascii="Calibri" w:hAnsi="Calibri"/>
          <w:bCs/>
        </w:rPr>
        <w:t xml:space="preserve"> if possible to ensure accuracy in the report</w:t>
      </w:r>
      <w:r w:rsidR="00BB0DBD" w:rsidRPr="007F40AA">
        <w:rPr>
          <w:rFonts w:ascii="Calibri" w:hAnsi="Calibri"/>
          <w:bCs/>
        </w:rPr>
        <w:t xml:space="preserve">ing. </w:t>
      </w:r>
    </w:p>
    <w:p w:rsidR="00C260AB" w:rsidRPr="00161A79" w:rsidRDefault="00C260AB" w:rsidP="00C260AB">
      <w:pPr>
        <w:rPr>
          <w:rFonts w:ascii="Calibri" w:hAnsi="Calibri"/>
        </w:rPr>
      </w:pPr>
    </w:p>
    <w:p w:rsidR="00300113" w:rsidRPr="00161A79" w:rsidRDefault="00BB0DBD" w:rsidP="00300113">
      <w:pPr>
        <w:numPr>
          <w:ilvl w:val="0"/>
          <w:numId w:val="4"/>
        </w:numPr>
        <w:rPr>
          <w:rFonts w:ascii="Calibri" w:hAnsi="Calibri"/>
        </w:rPr>
      </w:pPr>
      <w:r w:rsidRPr="007F40AA">
        <w:rPr>
          <w:rFonts w:ascii="Calibri" w:hAnsi="Calibri"/>
        </w:rPr>
        <w:t>Links to the r</w:t>
      </w:r>
      <w:r w:rsidR="00300113" w:rsidRPr="00161A79">
        <w:rPr>
          <w:rFonts w:ascii="Calibri" w:hAnsi="Calibri"/>
        </w:rPr>
        <w:t>eports are</w:t>
      </w:r>
      <w:r w:rsidR="00A9524F" w:rsidRPr="00161A79">
        <w:rPr>
          <w:rFonts w:ascii="Calibri" w:hAnsi="Calibri"/>
        </w:rPr>
        <w:t xml:space="preserve"> </w:t>
      </w:r>
      <w:r w:rsidRPr="007F40AA">
        <w:rPr>
          <w:rFonts w:ascii="Calibri" w:hAnsi="Calibri"/>
        </w:rPr>
        <w:t xml:space="preserve">automatically emailed </w:t>
      </w:r>
      <w:r w:rsidR="00A9524F" w:rsidRPr="00161A79">
        <w:rPr>
          <w:rFonts w:ascii="Calibri" w:hAnsi="Calibri"/>
        </w:rPr>
        <w:t xml:space="preserve">to the </w:t>
      </w:r>
      <w:r w:rsidR="00B0695E" w:rsidRPr="00161A79">
        <w:rPr>
          <w:rFonts w:ascii="Calibri" w:hAnsi="Calibri"/>
        </w:rPr>
        <w:t>Director</w:t>
      </w:r>
      <w:r w:rsidR="00954F07" w:rsidRPr="00161A79">
        <w:rPr>
          <w:rFonts w:ascii="Calibri" w:hAnsi="Calibri"/>
        </w:rPr>
        <w:t xml:space="preserve"> of</w:t>
      </w:r>
      <w:r w:rsidR="00B0695E" w:rsidRPr="00161A79">
        <w:rPr>
          <w:rFonts w:ascii="Calibri" w:hAnsi="Calibri"/>
        </w:rPr>
        <w:t xml:space="preserve"> </w:t>
      </w:r>
      <w:r w:rsidR="00954F07" w:rsidRPr="00161A79">
        <w:rPr>
          <w:rFonts w:ascii="Calibri" w:hAnsi="Calibri"/>
        </w:rPr>
        <w:t xml:space="preserve">Compliance and </w:t>
      </w:r>
      <w:r w:rsidR="00A9524F" w:rsidRPr="00161A79">
        <w:rPr>
          <w:rFonts w:ascii="Calibri" w:hAnsi="Calibri"/>
        </w:rPr>
        <w:t xml:space="preserve">Risk Management and the </w:t>
      </w:r>
      <w:r w:rsidR="00B0695E" w:rsidRPr="00161A79">
        <w:rPr>
          <w:rFonts w:ascii="Calibri" w:hAnsi="Calibri"/>
        </w:rPr>
        <w:t xml:space="preserve">Manager </w:t>
      </w:r>
      <w:r w:rsidR="00954F07" w:rsidRPr="00161A79">
        <w:rPr>
          <w:rFonts w:ascii="Calibri" w:hAnsi="Calibri"/>
        </w:rPr>
        <w:t xml:space="preserve">Compliance and </w:t>
      </w:r>
      <w:r w:rsidR="00A9524F" w:rsidRPr="00161A79">
        <w:rPr>
          <w:rFonts w:ascii="Calibri" w:hAnsi="Calibri"/>
        </w:rPr>
        <w:t>Risk Management, as well as the appropriate department managers/directors</w:t>
      </w:r>
      <w:r w:rsidR="00C260AB" w:rsidRPr="00161A79">
        <w:rPr>
          <w:rFonts w:ascii="Calibri" w:hAnsi="Calibri"/>
        </w:rPr>
        <w:t xml:space="preserve">. If the incident is a state-reportable event, it </w:t>
      </w:r>
      <w:r w:rsidR="004309F9" w:rsidRPr="00161A79">
        <w:rPr>
          <w:rFonts w:ascii="Calibri" w:hAnsi="Calibri"/>
        </w:rPr>
        <w:t>is</w:t>
      </w:r>
      <w:r w:rsidR="00C260AB" w:rsidRPr="00161A79">
        <w:rPr>
          <w:rFonts w:ascii="Calibri" w:hAnsi="Calibri"/>
        </w:rPr>
        <w:t xml:space="preserve"> reported to the appropriate state agency via the associated electronic reporting system</w:t>
      </w:r>
      <w:r w:rsidRPr="007F40AA">
        <w:rPr>
          <w:rFonts w:ascii="Calibri" w:hAnsi="Calibri"/>
        </w:rPr>
        <w:t xml:space="preserve"> (NYPORTS/NIMRS)</w:t>
      </w:r>
      <w:r w:rsidR="00C260AB" w:rsidRPr="00161A79">
        <w:rPr>
          <w:rFonts w:ascii="Calibri" w:hAnsi="Calibri"/>
        </w:rPr>
        <w:t xml:space="preserve">, as described in the policy section of this document. </w:t>
      </w:r>
    </w:p>
    <w:p w:rsidR="00C260AB" w:rsidRPr="00161A79" w:rsidRDefault="00C260AB" w:rsidP="00C260AB">
      <w:pPr>
        <w:rPr>
          <w:rFonts w:ascii="Calibri" w:hAnsi="Calibri"/>
        </w:rPr>
      </w:pPr>
    </w:p>
    <w:p w:rsidR="00C260AB" w:rsidRPr="00161A79" w:rsidRDefault="00AB7532" w:rsidP="00300113">
      <w:pPr>
        <w:numPr>
          <w:ilvl w:val="0"/>
          <w:numId w:val="4"/>
        </w:numPr>
        <w:rPr>
          <w:rFonts w:ascii="Calibri" w:hAnsi="Calibri"/>
        </w:rPr>
      </w:pPr>
      <w:r w:rsidRPr="00161A79">
        <w:rPr>
          <w:rFonts w:ascii="Calibri" w:hAnsi="Calibri"/>
        </w:rPr>
        <w:t xml:space="preserve">If the report was misfiled or applies to more than one department, the </w:t>
      </w:r>
      <w:r w:rsidR="00BB0DBD" w:rsidRPr="007F40AA">
        <w:rPr>
          <w:rFonts w:ascii="Calibri" w:hAnsi="Calibri"/>
        </w:rPr>
        <w:t>Compliance and Risk</w:t>
      </w:r>
      <w:r w:rsidRPr="00161A79">
        <w:rPr>
          <w:rFonts w:ascii="Calibri" w:hAnsi="Calibri"/>
        </w:rPr>
        <w:t xml:space="preserve"> Manager or </w:t>
      </w:r>
      <w:proofErr w:type="gramStart"/>
      <w:r w:rsidR="00BB0DBD" w:rsidRPr="007F40AA">
        <w:rPr>
          <w:rFonts w:ascii="Calibri" w:hAnsi="Calibri"/>
        </w:rPr>
        <w:t>Director</w:t>
      </w:r>
      <w:r w:rsidRPr="00161A79">
        <w:rPr>
          <w:rFonts w:ascii="Calibri" w:hAnsi="Calibri"/>
        </w:rPr>
        <w:t xml:space="preserve"> </w:t>
      </w:r>
      <w:r w:rsidR="00C260AB" w:rsidRPr="00161A79">
        <w:rPr>
          <w:rFonts w:ascii="Calibri" w:hAnsi="Calibri"/>
        </w:rPr>
        <w:t xml:space="preserve"> forwards</w:t>
      </w:r>
      <w:proofErr w:type="gramEnd"/>
      <w:r w:rsidR="00C260AB" w:rsidRPr="00161A79">
        <w:rPr>
          <w:rFonts w:ascii="Calibri" w:hAnsi="Calibri"/>
        </w:rPr>
        <w:t xml:space="preserve"> it to the appropriate </w:t>
      </w:r>
      <w:r w:rsidR="00BE7699" w:rsidRPr="00161A79">
        <w:rPr>
          <w:rFonts w:ascii="Calibri" w:hAnsi="Calibri"/>
        </w:rPr>
        <w:t>d</w:t>
      </w:r>
      <w:r w:rsidR="00C260AB" w:rsidRPr="00161A79">
        <w:rPr>
          <w:rFonts w:ascii="Calibri" w:hAnsi="Calibri"/>
        </w:rPr>
        <w:t xml:space="preserve">epartment </w:t>
      </w:r>
      <w:r w:rsidR="00BE7699" w:rsidRPr="00161A79">
        <w:rPr>
          <w:rFonts w:ascii="Calibri" w:hAnsi="Calibri"/>
        </w:rPr>
        <w:t>m</w:t>
      </w:r>
      <w:r w:rsidR="00C260AB" w:rsidRPr="00161A79">
        <w:rPr>
          <w:rFonts w:ascii="Calibri" w:hAnsi="Calibri"/>
        </w:rPr>
        <w:t xml:space="preserve">anager or </w:t>
      </w:r>
      <w:r w:rsidR="00BE7699" w:rsidRPr="00161A79">
        <w:rPr>
          <w:rFonts w:ascii="Calibri" w:hAnsi="Calibri"/>
        </w:rPr>
        <w:t>p</w:t>
      </w:r>
      <w:r w:rsidR="00C260AB" w:rsidRPr="00161A79">
        <w:rPr>
          <w:rFonts w:ascii="Calibri" w:hAnsi="Calibri"/>
        </w:rPr>
        <w:t xml:space="preserve">rovider for follow-up. When applicable, the incident may also </w:t>
      </w:r>
      <w:r w:rsidR="00BE7699" w:rsidRPr="00161A79">
        <w:rPr>
          <w:rFonts w:ascii="Calibri" w:hAnsi="Calibri"/>
        </w:rPr>
        <w:t xml:space="preserve">be </w:t>
      </w:r>
      <w:r w:rsidR="00C260AB" w:rsidRPr="00161A79">
        <w:rPr>
          <w:rFonts w:ascii="Calibri" w:hAnsi="Calibri"/>
        </w:rPr>
        <w:t xml:space="preserve">recorded in the </w:t>
      </w:r>
      <w:r w:rsidR="00C260AB" w:rsidRPr="00161A79">
        <w:rPr>
          <w:rFonts w:ascii="Calibri" w:hAnsi="Calibri"/>
          <w:i/>
        </w:rPr>
        <w:t>OSHA Workplace Safety Log</w:t>
      </w:r>
      <w:r w:rsidRPr="00161A79">
        <w:rPr>
          <w:rFonts w:ascii="Calibri" w:hAnsi="Calibri"/>
        </w:rPr>
        <w:t xml:space="preserve"> or</w:t>
      </w:r>
      <w:r w:rsidR="00C260AB" w:rsidRPr="00161A79">
        <w:rPr>
          <w:rFonts w:ascii="Calibri" w:hAnsi="Calibri"/>
        </w:rPr>
        <w:t xml:space="preserve"> the </w:t>
      </w:r>
      <w:r w:rsidR="00C260AB" w:rsidRPr="00161A79">
        <w:rPr>
          <w:rFonts w:ascii="Calibri" w:hAnsi="Calibri"/>
          <w:i/>
        </w:rPr>
        <w:t>Breach of PHI Log</w:t>
      </w:r>
      <w:r w:rsidR="00C260AB" w:rsidRPr="00161A79">
        <w:rPr>
          <w:rFonts w:ascii="Calibri" w:hAnsi="Calibri"/>
        </w:rPr>
        <w:t xml:space="preserve">.  </w:t>
      </w:r>
    </w:p>
    <w:p w:rsidR="00C260AB" w:rsidRPr="00161A79" w:rsidRDefault="00C260AB" w:rsidP="00C260AB">
      <w:pPr>
        <w:rPr>
          <w:rFonts w:ascii="Calibri" w:hAnsi="Calibri"/>
        </w:rPr>
      </w:pPr>
    </w:p>
    <w:p w:rsidR="00C260AB" w:rsidRPr="00161A79" w:rsidRDefault="00C260AB" w:rsidP="00300113">
      <w:pPr>
        <w:numPr>
          <w:ilvl w:val="0"/>
          <w:numId w:val="4"/>
        </w:numPr>
        <w:rPr>
          <w:rFonts w:ascii="Calibri" w:hAnsi="Calibri"/>
        </w:rPr>
      </w:pPr>
      <w:r w:rsidRPr="00161A79">
        <w:rPr>
          <w:rFonts w:ascii="Calibri" w:hAnsi="Calibri"/>
        </w:rPr>
        <w:t xml:space="preserve">If indicated, the </w:t>
      </w:r>
      <w:r w:rsidR="00BB0DBD" w:rsidRPr="007F40AA">
        <w:rPr>
          <w:rFonts w:ascii="Calibri" w:hAnsi="Calibri"/>
        </w:rPr>
        <w:t>Compliance and Risk</w:t>
      </w:r>
      <w:r w:rsidR="00AB7532" w:rsidRPr="00161A79">
        <w:rPr>
          <w:rFonts w:ascii="Calibri" w:hAnsi="Calibri"/>
        </w:rPr>
        <w:t xml:space="preserve"> Manager </w:t>
      </w:r>
      <w:r w:rsidR="00BB0DBD" w:rsidRPr="007F40AA">
        <w:rPr>
          <w:rFonts w:ascii="Calibri" w:hAnsi="Calibri"/>
        </w:rPr>
        <w:t xml:space="preserve">and/or Director </w:t>
      </w:r>
      <w:r w:rsidRPr="00161A79">
        <w:rPr>
          <w:rFonts w:ascii="Calibri" w:hAnsi="Calibri"/>
        </w:rPr>
        <w:t xml:space="preserve">will also notify Callen-Lorde’s malpractice </w:t>
      </w:r>
      <w:r w:rsidR="00BE7699" w:rsidRPr="00161A79">
        <w:rPr>
          <w:rFonts w:ascii="Calibri" w:hAnsi="Calibri"/>
        </w:rPr>
        <w:t>carrier</w:t>
      </w:r>
      <w:r w:rsidRPr="00161A79">
        <w:rPr>
          <w:rFonts w:ascii="Calibri" w:hAnsi="Calibri"/>
        </w:rPr>
        <w:t xml:space="preserve"> and/or </w:t>
      </w:r>
      <w:r w:rsidR="004B0334">
        <w:rPr>
          <w:rFonts w:ascii="Calibri" w:hAnsi="Calibri"/>
        </w:rPr>
        <w:t>___________</w:t>
      </w:r>
      <w:r w:rsidRPr="00161A79">
        <w:rPr>
          <w:rFonts w:ascii="Calibri" w:hAnsi="Calibri"/>
        </w:rPr>
        <w:t>’s legal counsel of the incident.</w:t>
      </w:r>
    </w:p>
    <w:p w:rsidR="00C260AB" w:rsidRPr="00161A79" w:rsidRDefault="00C260AB" w:rsidP="00C260AB">
      <w:pPr>
        <w:rPr>
          <w:rFonts w:ascii="Calibri" w:hAnsi="Calibri"/>
        </w:rPr>
      </w:pPr>
    </w:p>
    <w:p w:rsidR="00C260AB" w:rsidRPr="00161A79" w:rsidRDefault="00C260AB" w:rsidP="00300113">
      <w:pPr>
        <w:numPr>
          <w:ilvl w:val="0"/>
          <w:numId w:val="4"/>
        </w:numPr>
        <w:rPr>
          <w:rFonts w:ascii="Calibri" w:hAnsi="Calibri"/>
        </w:rPr>
      </w:pPr>
      <w:r w:rsidRPr="00161A79">
        <w:rPr>
          <w:rFonts w:ascii="Calibri" w:hAnsi="Calibri"/>
        </w:rPr>
        <w:t xml:space="preserve">The </w:t>
      </w:r>
      <w:r w:rsidR="00BB0DBD" w:rsidRPr="007F40AA">
        <w:rPr>
          <w:rFonts w:ascii="Calibri" w:hAnsi="Calibri"/>
        </w:rPr>
        <w:t>Compliance and Risk Director,</w:t>
      </w:r>
      <w:r w:rsidR="00AB7532" w:rsidRPr="00161A79">
        <w:rPr>
          <w:rFonts w:ascii="Calibri" w:hAnsi="Calibri"/>
        </w:rPr>
        <w:t xml:space="preserve"> Manager</w:t>
      </w:r>
      <w:r w:rsidRPr="00161A79">
        <w:rPr>
          <w:rFonts w:ascii="Calibri" w:hAnsi="Calibri"/>
        </w:rPr>
        <w:t xml:space="preserve">, the </w:t>
      </w:r>
      <w:r w:rsidR="00AB7532" w:rsidRPr="00161A79">
        <w:rPr>
          <w:rFonts w:ascii="Calibri" w:hAnsi="Calibri"/>
        </w:rPr>
        <w:t>CMO</w:t>
      </w:r>
      <w:r w:rsidRPr="00161A79">
        <w:rPr>
          <w:rFonts w:ascii="Calibri" w:hAnsi="Calibri"/>
        </w:rPr>
        <w:t xml:space="preserve">, or the Executive Director, as appropriate to the incident, will assure that </w:t>
      </w:r>
      <w:r w:rsidR="00BB0DBD" w:rsidRPr="007F40AA">
        <w:rPr>
          <w:rFonts w:ascii="Calibri" w:hAnsi="Calibri"/>
        </w:rPr>
        <w:t>the</w:t>
      </w:r>
      <w:r w:rsidR="00BB0DBD" w:rsidRPr="00161A79">
        <w:rPr>
          <w:rFonts w:ascii="Calibri" w:hAnsi="Calibri"/>
        </w:rPr>
        <w:t xml:space="preserve"> </w:t>
      </w:r>
      <w:r w:rsidRPr="00161A79">
        <w:rPr>
          <w:rFonts w:ascii="Calibri" w:hAnsi="Calibri"/>
        </w:rPr>
        <w:t xml:space="preserve">incidents are investigated by the manager responsible for supervision or service delivery related to the occurrence.  Initiation of an investigation </w:t>
      </w:r>
      <w:r w:rsidR="00BB0DBD" w:rsidRPr="007F40AA">
        <w:rPr>
          <w:rFonts w:ascii="Calibri" w:hAnsi="Calibri"/>
        </w:rPr>
        <w:t>begins as soon after the incident as possible</w:t>
      </w:r>
      <w:r w:rsidRPr="00161A79">
        <w:rPr>
          <w:rFonts w:ascii="Calibri" w:hAnsi="Calibri"/>
        </w:rPr>
        <w:t xml:space="preserve">, and the outcome of the investigation (root cause analysis) is documented in </w:t>
      </w:r>
      <w:r w:rsidR="00AB7532" w:rsidRPr="00161A79">
        <w:rPr>
          <w:rFonts w:ascii="Calibri" w:hAnsi="Calibri"/>
        </w:rPr>
        <w:t xml:space="preserve">the Follow Up </w:t>
      </w:r>
      <w:r w:rsidRPr="00161A79">
        <w:rPr>
          <w:rFonts w:ascii="Calibri" w:hAnsi="Calibri"/>
        </w:rPr>
        <w:t xml:space="preserve">section of the </w:t>
      </w:r>
      <w:r w:rsidR="00BB0DBD" w:rsidRPr="007F40AA">
        <w:rPr>
          <w:rFonts w:ascii="Calibri" w:hAnsi="Calibri"/>
        </w:rPr>
        <w:t>Event</w:t>
      </w:r>
      <w:r w:rsidR="00BB0DBD" w:rsidRPr="00161A79">
        <w:rPr>
          <w:rFonts w:ascii="Calibri" w:hAnsi="Calibri"/>
        </w:rPr>
        <w:t xml:space="preserve"> </w:t>
      </w:r>
      <w:r w:rsidRPr="00161A79">
        <w:rPr>
          <w:rFonts w:ascii="Calibri" w:hAnsi="Calibri"/>
        </w:rPr>
        <w:t>Report</w:t>
      </w:r>
      <w:r w:rsidR="00AB7532" w:rsidRPr="00161A79">
        <w:rPr>
          <w:rFonts w:ascii="Calibri" w:hAnsi="Calibri"/>
        </w:rPr>
        <w:t>ing</w:t>
      </w:r>
      <w:r w:rsidRPr="00161A79">
        <w:rPr>
          <w:rFonts w:ascii="Calibri" w:hAnsi="Calibri"/>
        </w:rPr>
        <w:t xml:space="preserve"> </w:t>
      </w:r>
      <w:r w:rsidR="00AB7532" w:rsidRPr="00161A79">
        <w:rPr>
          <w:rFonts w:ascii="Calibri" w:hAnsi="Calibri"/>
        </w:rPr>
        <w:t>f</w:t>
      </w:r>
      <w:r w:rsidRPr="00161A79">
        <w:rPr>
          <w:rFonts w:ascii="Calibri" w:hAnsi="Calibri"/>
        </w:rPr>
        <w:t>orm. Additional documents may be attached to demonstrate actions taken in response to an incident.</w:t>
      </w:r>
    </w:p>
    <w:p w:rsidR="00C260AB" w:rsidRPr="00161A79" w:rsidRDefault="00C260AB" w:rsidP="00C260AB">
      <w:pPr>
        <w:rPr>
          <w:rFonts w:ascii="Calibri" w:hAnsi="Calibri"/>
        </w:rPr>
      </w:pPr>
    </w:p>
    <w:p w:rsidR="00C260AB" w:rsidRPr="00161A79" w:rsidRDefault="00C260AB" w:rsidP="00C260AB">
      <w:pPr>
        <w:numPr>
          <w:ilvl w:val="0"/>
          <w:numId w:val="4"/>
        </w:numPr>
        <w:rPr>
          <w:rFonts w:ascii="Calibri" w:hAnsi="Calibri"/>
        </w:rPr>
      </w:pPr>
      <w:r w:rsidRPr="00161A79">
        <w:rPr>
          <w:rFonts w:ascii="Calibri" w:hAnsi="Calibri"/>
        </w:rPr>
        <w:t xml:space="preserve">All </w:t>
      </w:r>
      <w:r w:rsidR="00BB0DBD" w:rsidRPr="007F40AA">
        <w:rPr>
          <w:rFonts w:ascii="Calibri" w:hAnsi="Calibri"/>
        </w:rPr>
        <w:t>Event</w:t>
      </w:r>
      <w:r w:rsidR="00BB0DBD" w:rsidRPr="00161A79">
        <w:rPr>
          <w:rFonts w:ascii="Calibri" w:hAnsi="Calibri"/>
        </w:rPr>
        <w:t xml:space="preserve"> </w:t>
      </w:r>
      <w:r w:rsidRPr="00161A79">
        <w:rPr>
          <w:rFonts w:ascii="Calibri" w:hAnsi="Calibri"/>
        </w:rPr>
        <w:t xml:space="preserve">Report forms involving a medical or mental health </w:t>
      </w:r>
      <w:r w:rsidR="00BB0DBD" w:rsidRPr="007F40AA">
        <w:rPr>
          <w:rFonts w:ascii="Calibri" w:hAnsi="Calibri"/>
        </w:rPr>
        <w:t>related</w:t>
      </w:r>
      <w:r w:rsidR="00AB7532" w:rsidRPr="00161A79">
        <w:rPr>
          <w:rFonts w:ascii="Calibri" w:hAnsi="Calibri"/>
        </w:rPr>
        <w:t xml:space="preserve"> EMS call/transfer</w:t>
      </w:r>
      <w:r w:rsidRPr="00161A79">
        <w:rPr>
          <w:rFonts w:ascii="Calibri" w:hAnsi="Calibri"/>
        </w:rPr>
        <w:t xml:space="preserve"> must have a 5-day follow-up outcome completed by a provider and document</w:t>
      </w:r>
      <w:r w:rsidR="00BB0DBD" w:rsidRPr="007F40AA">
        <w:rPr>
          <w:rFonts w:ascii="Calibri" w:hAnsi="Calibri"/>
        </w:rPr>
        <w:t xml:space="preserve">ation </w:t>
      </w:r>
      <w:r w:rsidRPr="00161A79">
        <w:rPr>
          <w:rFonts w:ascii="Calibri" w:hAnsi="Calibri"/>
        </w:rPr>
        <w:t>in</w:t>
      </w:r>
      <w:r w:rsidR="00AB7532" w:rsidRPr="00161A79">
        <w:rPr>
          <w:rFonts w:ascii="Calibri" w:hAnsi="Calibri"/>
        </w:rPr>
        <w:t xml:space="preserve"> the</w:t>
      </w:r>
      <w:r w:rsidR="00BB0DBD" w:rsidRPr="007F40AA">
        <w:rPr>
          <w:rFonts w:ascii="Calibri" w:hAnsi="Calibri"/>
        </w:rPr>
        <w:t xml:space="preserve"> electronic medical record (EMR) and recommended to document in the</w:t>
      </w:r>
      <w:r w:rsidR="00AB7532" w:rsidRPr="00161A79">
        <w:rPr>
          <w:rFonts w:ascii="Calibri" w:hAnsi="Calibri"/>
        </w:rPr>
        <w:t xml:space="preserve"> Follow Up</w:t>
      </w:r>
      <w:r w:rsidRPr="00161A79">
        <w:rPr>
          <w:rFonts w:ascii="Calibri" w:hAnsi="Calibri"/>
        </w:rPr>
        <w:t xml:space="preserve"> section of the </w:t>
      </w:r>
      <w:r w:rsidR="00BB0DBD" w:rsidRPr="007F40AA">
        <w:rPr>
          <w:rFonts w:ascii="Calibri" w:hAnsi="Calibri"/>
        </w:rPr>
        <w:t>Event</w:t>
      </w:r>
      <w:r w:rsidR="00BB0DBD" w:rsidRPr="00161A79">
        <w:rPr>
          <w:rFonts w:ascii="Calibri" w:hAnsi="Calibri"/>
        </w:rPr>
        <w:t xml:space="preserve"> </w:t>
      </w:r>
      <w:r w:rsidRPr="00161A79">
        <w:rPr>
          <w:rFonts w:ascii="Calibri" w:hAnsi="Calibri"/>
        </w:rPr>
        <w:t>Report</w:t>
      </w:r>
      <w:r w:rsidR="00AB7532" w:rsidRPr="00161A79">
        <w:rPr>
          <w:rFonts w:ascii="Calibri" w:hAnsi="Calibri"/>
        </w:rPr>
        <w:t>ing</w:t>
      </w:r>
      <w:r w:rsidRPr="00161A79">
        <w:rPr>
          <w:rFonts w:ascii="Calibri" w:hAnsi="Calibri"/>
        </w:rPr>
        <w:t xml:space="preserve"> form.</w:t>
      </w:r>
    </w:p>
    <w:p w:rsidR="00C260AB" w:rsidRPr="00161A79" w:rsidRDefault="00C260AB" w:rsidP="00C260AB">
      <w:pPr>
        <w:rPr>
          <w:rFonts w:ascii="Calibri" w:hAnsi="Calibri"/>
        </w:rPr>
      </w:pPr>
    </w:p>
    <w:p w:rsidR="00BB0DBD" w:rsidRPr="007F40AA" w:rsidRDefault="00BE7699" w:rsidP="00F40718">
      <w:pPr>
        <w:numPr>
          <w:ilvl w:val="0"/>
          <w:numId w:val="4"/>
        </w:numPr>
        <w:rPr>
          <w:rFonts w:ascii="Calibri" w:hAnsi="Calibri"/>
        </w:rPr>
      </w:pPr>
      <w:r w:rsidRPr="00161A79">
        <w:rPr>
          <w:rFonts w:ascii="Calibri" w:hAnsi="Calibri"/>
        </w:rPr>
        <w:t xml:space="preserve">Depending on the incident, </w:t>
      </w:r>
      <w:r w:rsidR="00B32F0D" w:rsidRPr="00161A79">
        <w:rPr>
          <w:rFonts w:ascii="Calibri" w:hAnsi="Calibri"/>
        </w:rPr>
        <w:t xml:space="preserve">a </w:t>
      </w:r>
      <w:r w:rsidRPr="00161A79">
        <w:rPr>
          <w:rFonts w:ascii="Calibri" w:hAnsi="Calibri"/>
        </w:rPr>
        <w:t xml:space="preserve">corrective action may be necessary </w:t>
      </w:r>
      <w:r w:rsidR="00B32F0D" w:rsidRPr="00161A79">
        <w:rPr>
          <w:rFonts w:ascii="Calibri" w:hAnsi="Calibri"/>
        </w:rPr>
        <w:t xml:space="preserve">to avoid future incidents. Corrective actions are implemented by the relevant department manager and must take place </w:t>
      </w:r>
      <w:r w:rsidR="00C260AB" w:rsidRPr="00161A79">
        <w:rPr>
          <w:rFonts w:ascii="Calibri" w:hAnsi="Calibri"/>
        </w:rPr>
        <w:t xml:space="preserve">within 5 days of the completion of the investigation, and documented in </w:t>
      </w:r>
      <w:r w:rsidR="00AB7532" w:rsidRPr="00161A79">
        <w:rPr>
          <w:rFonts w:ascii="Calibri" w:hAnsi="Calibri"/>
        </w:rPr>
        <w:t xml:space="preserve">the Follow Up </w:t>
      </w:r>
      <w:proofErr w:type="gramStart"/>
      <w:r w:rsidR="00C260AB" w:rsidRPr="00161A79">
        <w:rPr>
          <w:rFonts w:ascii="Calibri" w:hAnsi="Calibri"/>
        </w:rPr>
        <w:t>section  of</w:t>
      </w:r>
      <w:proofErr w:type="gramEnd"/>
      <w:r w:rsidR="00C260AB" w:rsidRPr="00161A79">
        <w:rPr>
          <w:rFonts w:ascii="Calibri" w:hAnsi="Calibri"/>
        </w:rPr>
        <w:t xml:space="preserve"> the Incident Report Form. </w:t>
      </w:r>
    </w:p>
    <w:p w:rsidR="00BB0DBD" w:rsidRPr="007F40AA" w:rsidRDefault="00BB0DBD" w:rsidP="00161A79">
      <w:pPr>
        <w:pStyle w:val="ListParagraph"/>
        <w:rPr>
          <w:rFonts w:ascii="Calibri" w:hAnsi="Calibri"/>
        </w:rPr>
      </w:pPr>
    </w:p>
    <w:p w:rsidR="00C260AB" w:rsidRPr="00161A79" w:rsidRDefault="00D61893" w:rsidP="00161A79">
      <w:pPr>
        <w:numPr>
          <w:ilvl w:val="0"/>
          <w:numId w:val="4"/>
        </w:numPr>
        <w:rPr>
          <w:rFonts w:ascii="Calibri" w:hAnsi="Calibri"/>
        </w:rPr>
      </w:pPr>
      <w:r w:rsidRPr="007F40AA">
        <w:rPr>
          <w:rFonts w:ascii="Calibri" w:hAnsi="Calibri"/>
        </w:rPr>
        <w:t>The applicable event reviewer, in collaboration with the</w:t>
      </w:r>
      <w:r w:rsidR="007449A8">
        <w:rPr>
          <w:rFonts w:ascii="Calibri" w:hAnsi="Calibri"/>
        </w:rPr>
        <w:t xml:space="preserve"> Director and/or</w:t>
      </w:r>
      <w:r w:rsidRPr="007F40AA">
        <w:rPr>
          <w:rFonts w:ascii="Calibri" w:hAnsi="Calibri"/>
        </w:rPr>
        <w:t xml:space="preserve"> Manager of Compliance and Risk Management, reviews </w:t>
      </w:r>
      <w:proofErr w:type="spellStart"/>
      <w:r w:rsidRPr="007F40AA">
        <w:rPr>
          <w:rFonts w:ascii="Calibri" w:hAnsi="Calibri"/>
        </w:rPr>
        <w:t>SafetyZone</w:t>
      </w:r>
      <w:proofErr w:type="spellEnd"/>
      <w:r w:rsidRPr="007F40AA">
        <w:rPr>
          <w:rFonts w:ascii="Calibri" w:hAnsi="Calibri"/>
        </w:rPr>
        <w:t xml:space="preserve"> reports, identifies trends, and helps develop next steps to minimize recurrence. Trends are reviewed and reported on a regular basis, including but not limited to: breach of patient information, behavioral events, staff injury, and </w:t>
      </w:r>
      <w:r w:rsidR="006033F3" w:rsidRPr="007F40AA">
        <w:rPr>
          <w:rFonts w:ascii="Calibri" w:hAnsi="Calibri"/>
        </w:rPr>
        <w:t>delays/clinical patient care.</w:t>
      </w:r>
    </w:p>
    <w:p w:rsidR="00C260AB" w:rsidRPr="00161A79" w:rsidRDefault="00C260AB" w:rsidP="00C260AB">
      <w:pPr>
        <w:rPr>
          <w:rFonts w:ascii="Calibri" w:hAnsi="Calibri"/>
        </w:rPr>
        <w:sectPr w:rsidR="00C260AB" w:rsidRPr="00161A79" w:rsidSect="00C8062E">
          <w:footerReference w:type="default" r:id="rId8"/>
          <w:type w:val="continuous"/>
          <w:pgSz w:w="12240" w:h="15840"/>
          <w:pgMar w:top="1008" w:right="1152" w:bottom="1008" w:left="1440" w:header="720" w:footer="720" w:gutter="0"/>
          <w:cols w:space="720"/>
          <w:noEndnote/>
        </w:sectPr>
      </w:pPr>
    </w:p>
    <w:p w:rsidR="00F40718" w:rsidRPr="00161A79" w:rsidRDefault="00F40718" w:rsidP="00F40718">
      <w:pPr>
        <w:rPr>
          <w:rFonts w:ascii="Calibri" w:hAnsi="Calibri"/>
        </w:rPr>
        <w:sectPr w:rsidR="00F40718" w:rsidRPr="00161A79" w:rsidSect="00C8062E">
          <w:type w:val="continuous"/>
          <w:pgSz w:w="12240" w:h="15840"/>
          <w:pgMar w:top="1008" w:right="1152" w:bottom="1008" w:left="1440" w:header="360" w:footer="360" w:gutter="0"/>
          <w:cols w:space="720"/>
          <w:noEndnote/>
        </w:sectPr>
      </w:pPr>
    </w:p>
    <w:p w:rsidR="00F40718" w:rsidRPr="00161A79" w:rsidRDefault="00470861" w:rsidP="00F40718">
      <w:pPr>
        <w:rPr>
          <w:rFonts w:ascii="Calibri" w:hAnsi="Calibri"/>
          <w:b/>
        </w:rPr>
      </w:pPr>
      <w:r>
        <w:rPr>
          <w:rFonts w:ascii="Calibri" w:hAnsi="Calibri"/>
          <w:b/>
        </w:rPr>
        <w:t>See</w:t>
      </w:r>
      <w:r w:rsidR="00C260AB" w:rsidRPr="00161A79">
        <w:rPr>
          <w:rFonts w:ascii="Calibri" w:hAnsi="Calibri"/>
          <w:b/>
        </w:rPr>
        <w:t>: DOH-reportable list of incidents</w:t>
      </w:r>
    </w:p>
    <w:p w:rsidR="009C5B63" w:rsidRPr="00161A79" w:rsidRDefault="00470861" w:rsidP="00A167B2">
      <w:pPr>
        <w:rPr>
          <w:rFonts w:ascii="Calibri" w:hAnsi="Calibri"/>
        </w:rPr>
      </w:pPr>
      <w:r>
        <w:rPr>
          <w:rFonts w:ascii="Calibri" w:hAnsi="Calibri"/>
          <w:b/>
        </w:rPr>
        <w:t>See:</w:t>
      </w:r>
      <w:r w:rsidR="00C260AB" w:rsidRPr="00161A79">
        <w:rPr>
          <w:rFonts w:ascii="Calibri" w:hAnsi="Calibri"/>
          <w:b/>
        </w:rPr>
        <w:t xml:space="preserve"> OMH-reportable list of incidents</w:t>
      </w:r>
    </w:p>
    <w:sectPr w:rsidR="009C5B63" w:rsidRPr="00161A79" w:rsidSect="00C8062E">
      <w:type w:val="continuous"/>
      <w:pgSz w:w="12240" w:h="15840"/>
      <w:pgMar w:top="1008" w:right="1152" w:bottom="1008"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DC" w:rsidRDefault="00BF05DC">
      <w:r>
        <w:separator/>
      </w:r>
    </w:p>
  </w:endnote>
  <w:endnote w:type="continuationSeparator" w:id="0">
    <w:p w:rsidR="00BF05DC" w:rsidRDefault="00BF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C5" w:rsidRDefault="007844C5" w:rsidP="00C8062E">
    <w:pPr>
      <w:jc w:val="center"/>
    </w:pPr>
    <w:r>
      <w:t xml:space="preserve">Page </w:t>
    </w:r>
    <w:r>
      <w:fldChar w:fldCharType="begin"/>
    </w:r>
    <w:r>
      <w:instrText xml:space="preserve"> PAGE </w:instrText>
    </w:r>
    <w:r>
      <w:fldChar w:fldCharType="separate"/>
    </w:r>
    <w:r w:rsidR="004B0334">
      <w:rPr>
        <w:noProof/>
      </w:rPr>
      <w:t>1</w:t>
    </w:r>
    <w:r>
      <w:fldChar w:fldCharType="end"/>
    </w:r>
    <w:r>
      <w:t xml:space="preserve"> of </w:t>
    </w:r>
    <w:r w:rsidR="004B0334">
      <w:rPr>
        <w:noProof/>
      </w:rPr>
      <w:fldChar w:fldCharType="begin"/>
    </w:r>
    <w:r w:rsidR="004B0334">
      <w:rPr>
        <w:noProof/>
      </w:rPr>
      <w:instrText xml:space="preserve"> NUMPAGES </w:instrText>
    </w:r>
    <w:r w:rsidR="004B0334">
      <w:rPr>
        <w:noProof/>
      </w:rPr>
      <w:fldChar w:fldCharType="separate"/>
    </w:r>
    <w:r w:rsidR="004B0334">
      <w:rPr>
        <w:noProof/>
      </w:rPr>
      <w:t>3</w:t>
    </w:r>
    <w:r w:rsidR="004B0334">
      <w:rPr>
        <w:noProof/>
      </w:rPr>
      <w:fldChar w:fldCharType="end"/>
    </w:r>
  </w:p>
  <w:p w:rsidR="007844C5" w:rsidRDefault="007844C5">
    <w:pPr>
      <w:ind w:left="-288" w:right="-28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C5" w:rsidRDefault="007844C5" w:rsidP="00C8062E">
    <w:pPr>
      <w:jc w:val="center"/>
    </w:pPr>
    <w:r>
      <w:t xml:space="preserve">Page </w:t>
    </w:r>
    <w:r>
      <w:fldChar w:fldCharType="begin"/>
    </w:r>
    <w:r>
      <w:instrText xml:space="preserve"> PAGE </w:instrText>
    </w:r>
    <w:r>
      <w:fldChar w:fldCharType="separate"/>
    </w:r>
    <w:r w:rsidR="004B0334">
      <w:rPr>
        <w:noProof/>
      </w:rPr>
      <w:t>3</w:t>
    </w:r>
    <w:r>
      <w:fldChar w:fldCharType="end"/>
    </w:r>
    <w:r>
      <w:t xml:space="preserve"> of </w:t>
    </w:r>
    <w:r w:rsidR="004B0334">
      <w:rPr>
        <w:noProof/>
      </w:rPr>
      <w:fldChar w:fldCharType="begin"/>
    </w:r>
    <w:r w:rsidR="004B0334">
      <w:rPr>
        <w:noProof/>
      </w:rPr>
      <w:instrText xml:space="preserve"> NUMPAGES </w:instrText>
    </w:r>
    <w:r w:rsidR="004B0334">
      <w:rPr>
        <w:noProof/>
      </w:rPr>
      <w:fldChar w:fldCharType="separate"/>
    </w:r>
    <w:r w:rsidR="004B0334">
      <w:rPr>
        <w:noProof/>
      </w:rPr>
      <w:t>3</w:t>
    </w:r>
    <w:r w:rsidR="004B0334">
      <w:rPr>
        <w:noProof/>
      </w:rPr>
      <w:fldChar w:fldCharType="end"/>
    </w:r>
  </w:p>
  <w:p w:rsidR="007844C5" w:rsidRDefault="007844C5">
    <w:pPr>
      <w:ind w:left="-288" w:right="-28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DC" w:rsidRDefault="00BF05DC">
      <w:r>
        <w:separator/>
      </w:r>
    </w:p>
  </w:footnote>
  <w:footnote w:type="continuationSeparator" w:id="0">
    <w:p w:rsidR="00BF05DC" w:rsidRDefault="00BF0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2B51"/>
    <w:multiLevelType w:val="hybridMultilevel"/>
    <w:tmpl w:val="D6DEBB12"/>
    <w:lvl w:ilvl="0" w:tplc="2A80F0F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B6B08"/>
    <w:multiLevelType w:val="hybridMultilevel"/>
    <w:tmpl w:val="4AFC2192"/>
    <w:lvl w:ilvl="0" w:tplc="2A80F0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1723AC2"/>
    <w:multiLevelType w:val="hybridMultilevel"/>
    <w:tmpl w:val="BCB4E3FC"/>
    <w:lvl w:ilvl="0" w:tplc="2A80F0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3B76E7"/>
    <w:multiLevelType w:val="hybridMultilevel"/>
    <w:tmpl w:val="891C67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BC17FC7"/>
    <w:multiLevelType w:val="hybridMultilevel"/>
    <w:tmpl w:val="E438C846"/>
    <w:lvl w:ilvl="0" w:tplc="2A80F0FA">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8"/>
    <w:rsid w:val="00000D17"/>
    <w:rsid w:val="00003330"/>
    <w:rsid w:val="00003E74"/>
    <w:rsid w:val="0000777A"/>
    <w:rsid w:val="000157C4"/>
    <w:rsid w:val="00020A15"/>
    <w:rsid w:val="00022B96"/>
    <w:rsid w:val="00026EA5"/>
    <w:rsid w:val="000271F4"/>
    <w:rsid w:val="00030FEE"/>
    <w:rsid w:val="00031D5D"/>
    <w:rsid w:val="00031E38"/>
    <w:rsid w:val="00032D12"/>
    <w:rsid w:val="00034603"/>
    <w:rsid w:val="0003571D"/>
    <w:rsid w:val="000401C1"/>
    <w:rsid w:val="00044F0C"/>
    <w:rsid w:val="0004650F"/>
    <w:rsid w:val="00047B84"/>
    <w:rsid w:val="00051546"/>
    <w:rsid w:val="00052411"/>
    <w:rsid w:val="0005246C"/>
    <w:rsid w:val="00055C41"/>
    <w:rsid w:val="0005744B"/>
    <w:rsid w:val="0006091C"/>
    <w:rsid w:val="000623FE"/>
    <w:rsid w:val="000639A5"/>
    <w:rsid w:val="000703C1"/>
    <w:rsid w:val="00071A27"/>
    <w:rsid w:val="0007499F"/>
    <w:rsid w:val="00074EB7"/>
    <w:rsid w:val="00080164"/>
    <w:rsid w:val="00091387"/>
    <w:rsid w:val="00091452"/>
    <w:rsid w:val="000A1128"/>
    <w:rsid w:val="000A3802"/>
    <w:rsid w:val="000A420E"/>
    <w:rsid w:val="000A58F0"/>
    <w:rsid w:val="000A5D09"/>
    <w:rsid w:val="000A7666"/>
    <w:rsid w:val="000B0C7E"/>
    <w:rsid w:val="000B654F"/>
    <w:rsid w:val="000C087C"/>
    <w:rsid w:val="000C1378"/>
    <w:rsid w:val="000C1BED"/>
    <w:rsid w:val="000C5467"/>
    <w:rsid w:val="000C7929"/>
    <w:rsid w:val="000D0CBE"/>
    <w:rsid w:val="000D0DA2"/>
    <w:rsid w:val="000D33E9"/>
    <w:rsid w:val="000D3A1A"/>
    <w:rsid w:val="000D530F"/>
    <w:rsid w:val="000E0542"/>
    <w:rsid w:val="000E0CB2"/>
    <w:rsid w:val="000F1478"/>
    <w:rsid w:val="000F3915"/>
    <w:rsid w:val="000F5CE4"/>
    <w:rsid w:val="000F6385"/>
    <w:rsid w:val="000F69F6"/>
    <w:rsid w:val="000F6C6E"/>
    <w:rsid w:val="00100755"/>
    <w:rsid w:val="001026C1"/>
    <w:rsid w:val="0010733E"/>
    <w:rsid w:val="001110C7"/>
    <w:rsid w:val="00112106"/>
    <w:rsid w:val="00116E51"/>
    <w:rsid w:val="00121258"/>
    <w:rsid w:val="00122CAD"/>
    <w:rsid w:val="001255A2"/>
    <w:rsid w:val="00127A87"/>
    <w:rsid w:val="001338A1"/>
    <w:rsid w:val="00135B62"/>
    <w:rsid w:val="00145147"/>
    <w:rsid w:val="00145776"/>
    <w:rsid w:val="0015101A"/>
    <w:rsid w:val="001519A6"/>
    <w:rsid w:val="0015534D"/>
    <w:rsid w:val="0015659F"/>
    <w:rsid w:val="00156BCE"/>
    <w:rsid w:val="00157445"/>
    <w:rsid w:val="00161420"/>
    <w:rsid w:val="00161A79"/>
    <w:rsid w:val="00164B08"/>
    <w:rsid w:val="001651B2"/>
    <w:rsid w:val="00165CD5"/>
    <w:rsid w:val="0017235C"/>
    <w:rsid w:val="001726F9"/>
    <w:rsid w:val="00174E48"/>
    <w:rsid w:val="001757D9"/>
    <w:rsid w:val="00182626"/>
    <w:rsid w:val="00185B5F"/>
    <w:rsid w:val="001868E4"/>
    <w:rsid w:val="00187410"/>
    <w:rsid w:val="001922FB"/>
    <w:rsid w:val="00197C76"/>
    <w:rsid w:val="001A392F"/>
    <w:rsid w:val="001A6C0E"/>
    <w:rsid w:val="001A7F24"/>
    <w:rsid w:val="001B4B54"/>
    <w:rsid w:val="001B53AA"/>
    <w:rsid w:val="001D03EF"/>
    <w:rsid w:val="001D0769"/>
    <w:rsid w:val="001D3C80"/>
    <w:rsid w:val="001E13E8"/>
    <w:rsid w:val="001E2952"/>
    <w:rsid w:val="001E72D7"/>
    <w:rsid w:val="001F01A9"/>
    <w:rsid w:val="001F18E9"/>
    <w:rsid w:val="001F1904"/>
    <w:rsid w:val="001F2C00"/>
    <w:rsid w:val="001F6580"/>
    <w:rsid w:val="001F68F8"/>
    <w:rsid w:val="001F6DCB"/>
    <w:rsid w:val="00201226"/>
    <w:rsid w:val="00203691"/>
    <w:rsid w:val="00205361"/>
    <w:rsid w:val="002067DE"/>
    <w:rsid w:val="002103BB"/>
    <w:rsid w:val="00210770"/>
    <w:rsid w:val="00211F43"/>
    <w:rsid w:val="00221950"/>
    <w:rsid w:val="00222E8B"/>
    <w:rsid w:val="00222FB3"/>
    <w:rsid w:val="0022307F"/>
    <w:rsid w:val="002340C5"/>
    <w:rsid w:val="00237192"/>
    <w:rsid w:val="0024287C"/>
    <w:rsid w:val="002470BB"/>
    <w:rsid w:val="00247CFD"/>
    <w:rsid w:val="002516D9"/>
    <w:rsid w:val="002569AB"/>
    <w:rsid w:val="0026184E"/>
    <w:rsid w:val="00264339"/>
    <w:rsid w:val="00273603"/>
    <w:rsid w:val="00282528"/>
    <w:rsid w:val="00290DEF"/>
    <w:rsid w:val="002979B8"/>
    <w:rsid w:val="002A14C3"/>
    <w:rsid w:val="002A43F2"/>
    <w:rsid w:val="002B18C2"/>
    <w:rsid w:val="002B206F"/>
    <w:rsid w:val="002B3874"/>
    <w:rsid w:val="002B3FDC"/>
    <w:rsid w:val="002B706C"/>
    <w:rsid w:val="002C48E1"/>
    <w:rsid w:val="002C4A45"/>
    <w:rsid w:val="002D46C7"/>
    <w:rsid w:val="002D78CC"/>
    <w:rsid w:val="002E138B"/>
    <w:rsid w:val="002E185B"/>
    <w:rsid w:val="002E1F4E"/>
    <w:rsid w:val="002F0494"/>
    <w:rsid w:val="002F08A0"/>
    <w:rsid w:val="002F298C"/>
    <w:rsid w:val="002F341F"/>
    <w:rsid w:val="00300113"/>
    <w:rsid w:val="00307041"/>
    <w:rsid w:val="00312471"/>
    <w:rsid w:val="003177C8"/>
    <w:rsid w:val="00317AE7"/>
    <w:rsid w:val="003203AA"/>
    <w:rsid w:val="003212BB"/>
    <w:rsid w:val="00326911"/>
    <w:rsid w:val="00327870"/>
    <w:rsid w:val="003327AA"/>
    <w:rsid w:val="003371C8"/>
    <w:rsid w:val="00340A1E"/>
    <w:rsid w:val="00344402"/>
    <w:rsid w:val="00346551"/>
    <w:rsid w:val="00352DAA"/>
    <w:rsid w:val="003552C8"/>
    <w:rsid w:val="00355A4A"/>
    <w:rsid w:val="00356057"/>
    <w:rsid w:val="0035746B"/>
    <w:rsid w:val="00362A4F"/>
    <w:rsid w:val="00363B6F"/>
    <w:rsid w:val="0036627D"/>
    <w:rsid w:val="003716E1"/>
    <w:rsid w:val="003726FF"/>
    <w:rsid w:val="00373CAC"/>
    <w:rsid w:val="00374185"/>
    <w:rsid w:val="003742D1"/>
    <w:rsid w:val="00375A6C"/>
    <w:rsid w:val="0037630E"/>
    <w:rsid w:val="00383206"/>
    <w:rsid w:val="00386155"/>
    <w:rsid w:val="0038729F"/>
    <w:rsid w:val="00390D57"/>
    <w:rsid w:val="003918F5"/>
    <w:rsid w:val="00392758"/>
    <w:rsid w:val="0039295A"/>
    <w:rsid w:val="003929BB"/>
    <w:rsid w:val="003A3B3C"/>
    <w:rsid w:val="003A4890"/>
    <w:rsid w:val="003B70EF"/>
    <w:rsid w:val="003C1788"/>
    <w:rsid w:val="003C2389"/>
    <w:rsid w:val="003C27DF"/>
    <w:rsid w:val="003C489F"/>
    <w:rsid w:val="003C48EF"/>
    <w:rsid w:val="003D1898"/>
    <w:rsid w:val="003D38A5"/>
    <w:rsid w:val="003D3FCB"/>
    <w:rsid w:val="003D469C"/>
    <w:rsid w:val="003D72D6"/>
    <w:rsid w:val="003D7BCF"/>
    <w:rsid w:val="003E0F55"/>
    <w:rsid w:val="003E20A1"/>
    <w:rsid w:val="003E611B"/>
    <w:rsid w:val="003E7E9F"/>
    <w:rsid w:val="003F3621"/>
    <w:rsid w:val="0040405D"/>
    <w:rsid w:val="004157C6"/>
    <w:rsid w:val="0041791B"/>
    <w:rsid w:val="00417E8A"/>
    <w:rsid w:val="0042227F"/>
    <w:rsid w:val="004240B5"/>
    <w:rsid w:val="00425FC5"/>
    <w:rsid w:val="004269AD"/>
    <w:rsid w:val="00430996"/>
    <w:rsid w:val="004309F9"/>
    <w:rsid w:val="0043157D"/>
    <w:rsid w:val="00435464"/>
    <w:rsid w:val="00441C4A"/>
    <w:rsid w:val="00444BE2"/>
    <w:rsid w:val="004454F0"/>
    <w:rsid w:val="00445E66"/>
    <w:rsid w:val="00446A66"/>
    <w:rsid w:val="00447B9D"/>
    <w:rsid w:val="0045134F"/>
    <w:rsid w:val="00452580"/>
    <w:rsid w:val="00454208"/>
    <w:rsid w:val="00454650"/>
    <w:rsid w:val="004605B7"/>
    <w:rsid w:val="00463458"/>
    <w:rsid w:val="00464630"/>
    <w:rsid w:val="00464D0D"/>
    <w:rsid w:val="00466126"/>
    <w:rsid w:val="004677E5"/>
    <w:rsid w:val="00470861"/>
    <w:rsid w:val="004716B2"/>
    <w:rsid w:val="004750C3"/>
    <w:rsid w:val="00475453"/>
    <w:rsid w:val="00476469"/>
    <w:rsid w:val="00477F12"/>
    <w:rsid w:val="00480CB0"/>
    <w:rsid w:val="00482CEF"/>
    <w:rsid w:val="00487ECE"/>
    <w:rsid w:val="00491502"/>
    <w:rsid w:val="00493346"/>
    <w:rsid w:val="00493B3E"/>
    <w:rsid w:val="00495DB3"/>
    <w:rsid w:val="004A29C9"/>
    <w:rsid w:val="004A469A"/>
    <w:rsid w:val="004A5494"/>
    <w:rsid w:val="004A694A"/>
    <w:rsid w:val="004A7A20"/>
    <w:rsid w:val="004B0334"/>
    <w:rsid w:val="004B129E"/>
    <w:rsid w:val="004B1A69"/>
    <w:rsid w:val="004B1BB7"/>
    <w:rsid w:val="004B43B3"/>
    <w:rsid w:val="004B663B"/>
    <w:rsid w:val="004B7075"/>
    <w:rsid w:val="004D1C27"/>
    <w:rsid w:val="004D575E"/>
    <w:rsid w:val="004D6DE1"/>
    <w:rsid w:val="004E0213"/>
    <w:rsid w:val="004E1103"/>
    <w:rsid w:val="004E4642"/>
    <w:rsid w:val="004E6453"/>
    <w:rsid w:val="004E6ED0"/>
    <w:rsid w:val="004F0B2C"/>
    <w:rsid w:val="004F2508"/>
    <w:rsid w:val="004F2F74"/>
    <w:rsid w:val="004F3B12"/>
    <w:rsid w:val="005061E7"/>
    <w:rsid w:val="005070C3"/>
    <w:rsid w:val="005101F4"/>
    <w:rsid w:val="00512017"/>
    <w:rsid w:val="005131EF"/>
    <w:rsid w:val="005205AF"/>
    <w:rsid w:val="005340A8"/>
    <w:rsid w:val="0053658E"/>
    <w:rsid w:val="005368A6"/>
    <w:rsid w:val="00537601"/>
    <w:rsid w:val="00537702"/>
    <w:rsid w:val="00540E53"/>
    <w:rsid w:val="00545CAF"/>
    <w:rsid w:val="00545DC5"/>
    <w:rsid w:val="00546CEF"/>
    <w:rsid w:val="00547645"/>
    <w:rsid w:val="00551FDE"/>
    <w:rsid w:val="0055212B"/>
    <w:rsid w:val="0055307B"/>
    <w:rsid w:val="00555D7E"/>
    <w:rsid w:val="00557047"/>
    <w:rsid w:val="0056034B"/>
    <w:rsid w:val="00560EAB"/>
    <w:rsid w:val="005640C7"/>
    <w:rsid w:val="00565151"/>
    <w:rsid w:val="005716AD"/>
    <w:rsid w:val="00572039"/>
    <w:rsid w:val="005755B8"/>
    <w:rsid w:val="00580085"/>
    <w:rsid w:val="005832EA"/>
    <w:rsid w:val="005844E4"/>
    <w:rsid w:val="00592F68"/>
    <w:rsid w:val="00593BA0"/>
    <w:rsid w:val="00597563"/>
    <w:rsid w:val="005A21DC"/>
    <w:rsid w:val="005A7E96"/>
    <w:rsid w:val="005B0275"/>
    <w:rsid w:val="005C253C"/>
    <w:rsid w:val="005C3DF3"/>
    <w:rsid w:val="005C5A57"/>
    <w:rsid w:val="005D1160"/>
    <w:rsid w:val="005D2ADA"/>
    <w:rsid w:val="005D3638"/>
    <w:rsid w:val="005D4BF4"/>
    <w:rsid w:val="005D512D"/>
    <w:rsid w:val="005D5FC5"/>
    <w:rsid w:val="005E1A5E"/>
    <w:rsid w:val="005E4A73"/>
    <w:rsid w:val="005E4D9E"/>
    <w:rsid w:val="005E5371"/>
    <w:rsid w:val="005F26F2"/>
    <w:rsid w:val="00600A96"/>
    <w:rsid w:val="00602883"/>
    <w:rsid w:val="006033F3"/>
    <w:rsid w:val="00604FF6"/>
    <w:rsid w:val="00614FA2"/>
    <w:rsid w:val="006165E4"/>
    <w:rsid w:val="00622FEE"/>
    <w:rsid w:val="0062420C"/>
    <w:rsid w:val="0062700F"/>
    <w:rsid w:val="00627F60"/>
    <w:rsid w:val="00631B47"/>
    <w:rsid w:val="00633A0C"/>
    <w:rsid w:val="006359A4"/>
    <w:rsid w:val="00637760"/>
    <w:rsid w:val="00640E92"/>
    <w:rsid w:val="00650575"/>
    <w:rsid w:val="00654890"/>
    <w:rsid w:val="006601DC"/>
    <w:rsid w:val="0067031C"/>
    <w:rsid w:val="0067146D"/>
    <w:rsid w:val="00673E39"/>
    <w:rsid w:val="00676153"/>
    <w:rsid w:val="00677B8A"/>
    <w:rsid w:val="006811DE"/>
    <w:rsid w:val="00684C6D"/>
    <w:rsid w:val="00684DA8"/>
    <w:rsid w:val="006865C4"/>
    <w:rsid w:val="006932DE"/>
    <w:rsid w:val="006A490D"/>
    <w:rsid w:val="006B4592"/>
    <w:rsid w:val="006B56A6"/>
    <w:rsid w:val="006C3ABB"/>
    <w:rsid w:val="006C7A7F"/>
    <w:rsid w:val="006D1151"/>
    <w:rsid w:val="006D2F6B"/>
    <w:rsid w:val="006D604B"/>
    <w:rsid w:val="006D67BC"/>
    <w:rsid w:val="006D6DAF"/>
    <w:rsid w:val="006D7F67"/>
    <w:rsid w:val="006E682B"/>
    <w:rsid w:val="006E6A7F"/>
    <w:rsid w:val="006F1645"/>
    <w:rsid w:val="006F438D"/>
    <w:rsid w:val="006F5C4F"/>
    <w:rsid w:val="006F5EBE"/>
    <w:rsid w:val="00703DBD"/>
    <w:rsid w:val="00704993"/>
    <w:rsid w:val="00704E85"/>
    <w:rsid w:val="0070749C"/>
    <w:rsid w:val="0071114D"/>
    <w:rsid w:val="00711415"/>
    <w:rsid w:val="00713583"/>
    <w:rsid w:val="00714D2D"/>
    <w:rsid w:val="00717182"/>
    <w:rsid w:val="00717C40"/>
    <w:rsid w:val="00717EBF"/>
    <w:rsid w:val="00720DED"/>
    <w:rsid w:val="00721D68"/>
    <w:rsid w:val="00723077"/>
    <w:rsid w:val="007262B5"/>
    <w:rsid w:val="007275B3"/>
    <w:rsid w:val="00731F60"/>
    <w:rsid w:val="0073218E"/>
    <w:rsid w:val="00733E4A"/>
    <w:rsid w:val="00735B9E"/>
    <w:rsid w:val="007449A8"/>
    <w:rsid w:val="007459E9"/>
    <w:rsid w:val="007461A4"/>
    <w:rsid w:val="007511AE"/>
    <w:rsid w:val="00751EE0"/>
    <w:rsid w:val="007567CA"/>
    <w:rsid w:val="0076063C"/>
    <w:rsid w:val="00761983"/>
    <w:rsid w:val="007627F5"/>
    <w:rsid w:val="007664EB"/>
    <w:rsid w:val="00770A7B"/>
    <w:rsid w:val="00772945"/>
    <w:rsid w:val="007738B6"/>
    <w:rsid w:val="007738C2"/>
    <w:rsid w:val="00776679"/>
    <w:rsid w:val="0078040B"/>
    <w:rsid w:val="00780B03"/>
    <w:rsid w:val="007844C5"/>
    <w:rsid w:val="00784961"/>
    <w:rsid w:val="00793B0F"/>
    <w:rsid w:val="00796857"/>
    <w:rsid w:val="0079706F"/>
    <w:rsid w:val="007A4BC8"/>
    <w:rsid w:val="007A5848"/>
    <w:rsid w:val="007B0267"/>
    <w:rsid w:val="007B04A5"/>
    <w:rsid w:val="007B2385"/>
    <w:rsid w:val="007B4849"/>
    <w:rsid w:val="007C031D"/>
    <w:rsid w:val="007C0C22"/>
    <w:rsid w:val="007C401A"/>
    <w:rsid w:val="007C6209"/>
    <w:rsid w:val="007C6DAD"/>
    <w:rsid w:val="007C7640"/>
    <w:rsid w:val="007C76F1"/>
    <w:rsid w:val="007D1574"/>
    <w:rsid w:val="007D1B70"/>
    <w:rsid w:val="007D412A"/>
    <w:rsid w:val="007E3C2A"/>
    <w:rsid w:val="007E6684"/>
    <w:rsid w:val="007E6D5D"/>
    <w:rsid w:val="007F40AA"/>
    <w:rsid w:val="007F4573"/>
    <w:rsid w:val="007F7554"/>
    <w:rsid w:val="008019A2"/>
    <w:rsid w:val="00801A6A"/>
    <w:rsid w:val="008029CA"/>
    <w:rsid w:val="00803D01"/>
    <w:rsid w:val="00804F7D"/>
    <w:rsid w:val="00805D81"/>
    <w:rsid w:val="0080784A"/>
    <w:rsid w:val="00812A07"/>
    <w:rsid w:val="00815908"/>
    <w:rsid w:val="0081614E"/>
    <w:rsid w:val="00822CCC"/>
    <w:rsid w:val="00823944"/>
    <w:rsid w:val="00823B7B"/>
    <w:rsid w:val="0082405E"/>
    <w:rsid w:val="0082787B"/>
    <w:rsid w:val="00830FD1"/>
    <w:rsid w:val="00833980"/>
    <w:rsid w:val="00836FE7"/>
    <w:rsid w:val="00840529"/>
    <w:rsid w:val="00841414"/>
    <w:rsid w:val="00857104"/>
    <w:rsid w:val="00860E4E"/>
    <w:rsid w:val="008710CD"/>
    <w:rsid w:val="0087501B"/>
    <w:rsid w:val="00876F46"/>
    <w:rsid w:val="00882D5A"/>
    <w:rsid w:val="00887BB0"/>
    <w:rsid w:val="00890622"/>
    <w:rsid w:val="00891A6F"/>
    <w:rsid w:val="00892350"/>
    <w:rsid w:val="008A0087"/>
    <w:rsid w:val="008A436B"/>
    <w:rsid w:val="008B14D5"/>
    <w:rsid w:val="008B1857"/>
    <w:rsid w:val="008B1EBD"/>
    <w:rsid w:val="008B5185"/>
    <w:rsid w:val="008B6165"/>
    <w:rsid w:val="008C22F5"/>
    <w:rsid w:val="008D1D93"/>
    <w:rsid w:val="008D360C"/>
    <w:rsid w:val="008D5A8A"/>
    <w:rsid w:val="008D5AE1"/>
    <w:rsid w:val="008D6099"/>
    <w:rsid w:val="008D7748"/>
    <w:rsid w:val="008E174F"/>
    <w:rsid w:val="008E496A"/>
    <w:rsid w:val="008E53DD"/>
    <w:rsid w:val="008E5B27"/>
    <w:rsid w:val="008E5F20"/>
    <w:rsid w:val="008F148B"/>
    <w:rsid w:val="008F1CDF"/>
    <w:rsid w:val="008F23D1"/>
    <w:rsid w:val="00906C9F"/>
    <w:rsid w:val="009115AE"/>
    <w:rsid w:val="009175BC"/>
    <w:rsid w:val="00920C53"/>
    <w:rsid w:val="00920FC8"/>
    <w:rsid w:val="009229EA"/>
    <w:rsid w:val="00924F1A"/>
    <w:rsid w:val="009276CE"/>
    <w:rsid w:val="00936F05"/>
    <w:rsid w:val="009373A2"/>
    <w:rsid w:val="009431EB"/>
    <w:rsid w:val="009454AA"/>
    <w:rsid w:val="00946AFD"/>
    <w:rsid w:val="00952208"/>
    <w:rsid w:val="00952A19"/>
    <w:rsid w:val="00952C4D"/>
    <w:rsid w:val="009535F5"/>
    <w:rsid w:val="00954303"/>
    <w:rsid w:val="00954E0C"/>
    <w:rsid w:val="00954F07"/>
    <w:rsid w:val="009554F9"/>
    <w:rsid w:val="00955536"/>
    <w:rsid w:val="00960176"/>
    <w:rsid w:val="00965A07"/>
    <w:rsid w:val="00970CE0"/>
    <w:rsid w:val="00972099"/>
    <w:rsid w:val="00975197"/>
    <w:rsid w:val="00975C1C"/>
    <w:rsid w:val="00977E7D"/>
    <w:rsid w:val="009813B7"/>
    <w:rsid w:val="0098216B"/>
    <w:rsid w:val="00982B04"/>
    <w:rsid w:val="0098407C"/>
    <w:rsid w:val="0098770C"/>
    <w:rsid w:val="00987BA2"/>
    <w:rsid w:val="00987F91"/>
    <w:rsid w:val="00992F3A"/>
    <w:rsid w:val="00994638"/>
    <w:rsid w:val="0099677A"/>
    <w:rsid w:val="009A27EE"/>
    <w:rsid w:val="009A2F9F"/>
    <w:rsid w:val="009A7266"/>
    <w:rsid w:val="009B09C4"/>
    <w:rsid w:val="009B1BFF"/>
    <w:rsid w:val="009B5ECD"/>
    <w:rsid w:val="009B6FE8"/>
    <w:rsid w:val="009C0DA5"/>
    <w:rsid w:val="009C2CC2"/>
    <w:rsid w:val="009C5B63"/>
    <w:rsid w:val="009D56E5"/>
    <w:rsid w:val="009E0618"/>
    <w:rsid w:val="009E6057"/>
    <w:rsid w:val="009E6FBE"/>
    <w:rsid w:val="009F33F2"/>
    <w:rsid w:val="009F41B7"/>
    <w:rsid w:val="009F4D29"/>
    <w:rsid w:val="009F6214"/>
    <w:rsid w:val="00A00E8A"/>
    <w:rsid w:val="00A01842"/>
    <w:rsid w:val="00A02FF3"/>
    <w:rsid w:val="00A04840"/>
    <w:rsid w:val="00A06324"/>
    <w:rsid w:val="00A0699F"/>
    <w:rsid w:val="00A10DD3"/>
    <w:rsid w:val="00A111B8"/>
    <w:rsid w:val="00A12159"/>
    <w:rsid w:val="00A1366C"/>
    <w:rsid w:val="00A14C53"/>
    <w:rsid w:val="00A167B2"/>
    <w:rsid w:val="00A2075B"/>
    <w:rsid w:val="00A21301"/>
    <w:rsid w:val="00A214DB"/>
    <w:rsid w:val="00A357EA"/>
    <w:rsid w:val="00A373F5"/>
    <w:rsid w:val="00A434B4"/>
    <w:rsid w:val="00A43873"/>
    <w:rsid w:val="00A44DE6"/>
    <w:rsid w:val="00A46BBE"/>
    <w:rsid w:val="00A473B2"/>
    <w:rsid w:val="00A47D1D"/>
    <w:rsid w:val="00A555E8"/>
    <w:rsid w:val="00A60321"/>
    <w:rsid w:val="00A605FF"/>
    <w:rsid w:val="00A61761"/>
    <w:rsid w:val="00A70FE1"/>
    <w:rsid w:val="00A72783"/>
    <w:rsid w:val="00A74656"/>
    <w:rsid w:val="00A74740"/>
    <w:rsid w:val="00A76069"/>
    <w:rsid w:val="00A775FD"/>
    <w:rsid w:val="00A8054F"/>
    <w:rsid w:val="00A82223"/>
    <w:rsid w:val="00A862D7"/>
    <w:rsid w:val="00A91B27"/>
    <w:rsid w:val="00A936C5"/>
    <w:rsid w:val="00A9524F"/>
    <w:rsid w:val="00AA076B"/>
    <w:rsid w:val="00AA0ACF"/>
    <w:rsid w:val="00AA4416"/>
    <w:rsid w:val="00AA7120"/>
    <w:rsid w:val="00AB0BB2"/>
    <w:rsid w:val="00AB0DA1"/>
    <w:rsid w:val="00AB5380"/>
    <w:rsid w:val="00AB6EDB"/>
    <w:rsid w:val="00AB7532"/>
    <w:rsid w:val="00AC3F6B"/>
    <w:rsid w:val="00AC4DA0"/>
    <w:rsid w:val="00AC6366"/>
    <w:rsid w:val="00AD0517"/>
    <w:rsid w:val="00AD17C8"/>
    <w:rsid w:val="00AD27F6"/>
    <w:rsid w:val="00AD48D0"/>
    <w:rsid w:val="00AD53E2"/>
    <w:rsid w:val="00AE163C"/>
    <w:rsid w:val="00AE1648"/>
    <w:rsid w:val="00AE3B4D"/>
    <w:rsid w:val="00AE5AD2"/>
    <w:rsid w:val="00AE7512"/>
    <w:rsid w:val="00AF201D"/>
    <w:rsid w:val="00AF68E0"/>
    <w:rsid w:val="00B00351"/>
    <w:rsid w:val="00B00AD2"/>
    <w:rsid w:val="00B026FF"/>
    <w:rsid w:val="00B03794"/>
    <w:rsid w:val="00B05041"/>
    <w:rsid w:val="00B0695E"/>
    <w:rsid w:val="00B1176E"/>
    <w:rsid w:val="00B13112"/>
    <w:rsid w:val="00B13207"/>
    <w:rsid w:val="00B13F64"/>
    <w:rsid w:val="00B15420"/>
    <w:rsid w:val="00B161A7"/>
    <w:rsid w:val="00B21164"/>
    <w:rsid w:val="00B212CA"/>
    <w:rsid w:val="00B21D30"/>
    <w:rsid w:val="00B248F7"/>
    <w:rsid w:val="00B261D9"/>
    <w:rsid w:val="00B32F0D"/>
    <w:rsid w:val="00B33FA0"/>
    <w:rsid w:val="00B35F1C"/>
    <w:rsid w:val="00B50CE0"/>
    <w:rsid w:val="00B52866"/>
    <w:rsid w:val="00B56961"/>
    <w:rsid w:val="00B57C4C"/>
    <w:rsid w:val="00B6253B"/>
    <w:rsid w:val="00B638C5"/>
    <w:rsid w:val="00B675AE"/>
    <w:rsid w:val="00B73C39"/>
    <w:rsid w:val="00B761B0"/>
    <w:rsid w:val="00B80769"/>
    <w:rsid w:val="00B8308B"/>
    <w:rsid w:val="00B84259"/>
    <w:rsid w:val="00B85D22"/>
    <w:rsid w:val="00B9371D"/>
    <w:rsid w:val="00B94053"/>
    <w:rsid w:val="00B95309"/>
    <w:rsid w:val="00B95860"/>
    <w:rsid w:val="00B96C4D"/>
    <w:rsid w:val="00BA2A57"/>
    <w:rsid w:val="00BB0DBD"/>
    <w:rsid w:val="00BB0FAF"/>
    <w:rsid w:val="00BB167D"/>
    <w:rsid w:val="00BB2AFC"/>
    <w:rsid w:val="00BB3A9D"/>
    <w:rsid w:val="00BC08AD"/>
    <w:rsid w:val="00BC1D8B"/>
    <w:rsid w:val="00BC3E7C"/>
    <w:rsid w:val="00BC4181"/>
    <w:rsid w:val="00BC64D5"/>
    <w:rsid w:val="00BD299D"/>
    <w:rsid w:val="00BD3CC9"/>
    <w:rsid w:val="00BD4367"/>
    <w:rsid w:val="00BD7102"/>
    <w:rsid w:val="00BD7AEA"/>
    <w:rsid w:val="00BE1AF2"/>
    <w:rsid w:val="00BE27DF"/>
    <w:rsid w:val="00BE7699"/>
    <w:rsid w:val="00BE7C04"/>
    <w:rsid w:val="00BE7F9A"/>
    <w:rsid w:val="00BF05DC"/>
    <w:rsid w:val="00BF0D11"/>
    <w:rsid w:val="00BF2012"/>
    <w:rsid w:val="00BF3F17"/>
    <w:rsid w:val="00BF5562"/>
    <w:rsid w:val="00BF75C9"/>
    <w:rsid w:val="00C02D5C"/>
    <w:rsid w:val="00C10814"/>
    <w:rsid w:val="00C14456"/>
    <w:rsid w:val="00C20BF9"/>
    <w:rsid w:val="00C231F4"/>
    <w:rsid w:val="00C23A54"/>
    <w:rsid w:val="00C260AB"/>
    <w:rsid w:val="00C3542B"/>
    <w:rsid w:val="00C35BE0"/>
    <w:rsid w:val="00C41DA8"/>
    <w:rsid w:val="00C4395E"/>
    <w:rsid w:val="00C46E87"/>
    <w:rsid w:val="00C4799A"/>
    <w:rsid w:val="00C538DA"/>
    <w:rsid w:val="00C547F8"/>
    <w:rsid w:val="00C54C4E"/>
    <w:rsid w:val="00C54DBD"/>
    <w:rsid w:val="00C55316"/>
    <w:rsid w:val="00C56490"/>
    <w:rsid w:val="00C565A2"/>
    <w:rsid w:val="00C56D8B"/>
    <w:rsid w:val="00C57BEA"/>
    <w:rsid w:val="00C61A84"/>
    <w:rsid w:val="00C7242E"/>
    <w:rsid w:val="00C8026E"/>
    <w:rsid w:val="00C8062E"/>
    <w:rsid w:val="00C8578B"/>
    <w:rsid w:val="00C86F6C"/>
    <w:rsid w:val="00C9554E"/>
    <w:rsid w:val="00C95768"/>
    <w:rsid w:val="00C96DA1"/>
    <w:rsid w:val="00CA2DDC"/>
    <w:rsid w:val="00CA4B05"/>
    <w:rsid w:val="00CA5C21"/>
    <w:rsid w:val="00CB0368"/>
    <w:rsid w:val="00CB0C07"/>
    <w:rsid w:val="00CB146F"/>
    <w:rsid w:val="00CB38E7"/>
    <w:rsid w:val="00CB4400"/>
    <w:rsid w:val="00CB444A"/>
    <w:rsid w:val="00CB61FF"/>
    <w:rsid w:val="00CC3942"/>
    <w:rsid w:val="00CD17DE"/>
    <w:rsid w:val="00CD239E"/>
    <w:rsid w:val="00CD3B6E"/>
    <w:rsid w:val="00CD435F"/>
    <w:rsid w:val="00CD74DA"/>
    <w:rsid w:val="00CE030F"/>
    <w:rsid w:val="00CE5D7B"/>
    <w:rsid w:val="00CE6B72"/>
    <w:rsid w:val="00CF1407"/>
    <w:rsid w:val="00CF2AE2"/>
    <w:rsid w:val="00CF3C09"/>
    <w:rsid w:val="00D00FA3"/>
    <w:rsid w:val="00D019BD"/>
    <w:rsid w:val="00D03FFC"/>
    <w:rsid w:val="00D0667B"/>
    <w:rsid w:val="00D0795D"/>
    <w:rsid w:val="00D118C9"/>
    <w:rsid w:val="00D15886"/>
    <w:rsid w:val="00D20624"/>
    <w:rsid w:val="00D22446"/>
    <w:rsid w:val="00D24546"/>
    <w:rsid w:val="00D24CAB"/>
    <w:rsid w:val="00D25206"/>
    <w:rsid w:val="00D26F14"/>
    <w:rsid w:val="00D33644"/>
    <w:rsid w:val="00D33744"/>
    <w:rsid w:val="00D342FF"/>
    <w:rsid w:val="00D41698"/>
    <w:rsid w:val="00D457BF"/>
    <w:rsid w:val="00D5033B"/>
    <w:rsid w:val="00D53D0E"/>
    <w:rsid w:val="00D5694F"/>
    <w:rsid w:val="00D5743C"/>
    <w:rsid w:val="00D606FF"/>
    <w:rsid w:val="00D61493"/>
    <w:rsid w:val="00D61893"/>
    <w:rsid w:val="00D620C2"/>
    <w:rsid w:val="00D62AE9"/>
    <w:rsid w:val="00D63AA7"/>
    <w:rsid w:val="00D7453E"/>
    <w:rsid w:val="00D775BA"/>
    <w:rsid w:val="00D801AC"/>
    <w:rsid w:val="00D805C7"/>
    <w:rsid w:val="00D85A64"/>
    <w:rsid w:val="00D90D2E"/>
    <w:rsid w:val="00D975C5"/>
    <w:rsid w:val="00D97B81"/>
    <w:rsid w:val="00D97BBE"/>
    <w:rsid w:val="00DA00C8"/>
    <w:rsid w:val="00DA0C77"/>
    <w:rsid w:val="00DA3FFF"/>
    <w:rsid w:val="00DA6439"/>
    <w:rsid w:val="00DA6F2F"/>
    <w:rsid w:val="00DB0D0C"/>
    <w:rsid w:val="00DB2B22"/>
    <w:rsid w:val="00DB33B4"/>
    <w:rsid w:val="00DB51ED"/>
    <w:rsid w:val="00DC0D63"/>
    <w:rsid w:val="00DC53C1"/>
    <w:rsid w:val="00DC75E1"/>
    <w:rsid w:val="00DC77C4"/>
    <w:rsid w:val="00DD19C1"/>
    <w:rsid w:val="00DD4374"/>
    <w:rsid w:val="00DD5CBD"/>
    <w:rsid w:val="00DD6E0A"/>
    <w:rsid w:val="00DE16A8"/>
    <w:rsid w:val="00DE35E8"/>
    <w:rsid w:val="00DE39B9"/>
    <w:rsid w:val="00DE66FC"/>
    <w:rsid w:val="00DF4812"/>
    <w:rsid w:val="00E0000F"/>
    <w:rsid w:val="00E00115"/>
    <w:rsid w:val="00E009B3"/>
    <w:rsid w:val="00E122C0"/>
    <w:rsid w:val="00E1655D"/>
    <w:rsid w:val="00E21142"/>
    <w:rsid w:val="00E233B1"/>
    <w:rsid w:val="00E2595D"/>
    <w:rsid w:val="00E260B5"/>
    <w:rsid w:val="00E301EB"/>
    <w:rsid w:val="00E340FF"/>
    <w:rsid w:val="00E34D21"/>
    <w:rsid w:val="00E3742C"/>
    <w:rsid w:val="00E40AC1"/>
    <w:rsid w:val="00E41715"/>
    <w:rsid w:val="00E41AAF"/>
    <w:rsid w:val="00E4401C"/>
    <w:rsid w:val="00E44140"/>
    <w:rsid w:val="00E44570"/>
    <w:rsid w:val="00E44698"/>
    <w:rsid w:val="00E456E2"/>
    <w:rsid w:val="00E51FDE"/>
    <w:rsid w:val="00E528E3"/>
    <w:rsid w:val="00E5326C"/>
    <w:rsid w:val="00E5376D"/>
    <w:rsid w:val="00E538E2"/>
    <w:rsid w:val="00E53F50"/>
    <w:rsid w:val="00E55A3D"/>
    <w:rsid w:val="00E5610C"/>
    <w:rsid w:val="00E56FE9"/>
    <w:rsid w:val="00E57180"/>
    <w:rsid w:val="00E60753"/>
    <w:rsid w:val="00E62392"/>
    <w:rsid w:val="00E73267"/>
    <w:rsid w:val="00E8322C"/>
    <w:rsid w:val="00E8337D"/>
    <w:rsid w:val="00E85759"/>
    <w:rsid w:val="00E85E44"/>
    <w:rsid w:val="00E90C1D"/>
    <w:rsid w:val="00E9170D"/>
    <w:rsid w:val="00E96B2B"/>
    <w:rsid w:val="00EA2366"/>
    <w:rsid w:val="00EA72EE"/>
    <w:rsid w:val="00EA75A4"/>
    <w:rsid w:val="00EA77CA"/>
    <w:rsid w:val="00EA7D49"/>
    <w:rsid w:val="00EB07E7"/>
    <w:rsid w:val="00EB10E7"/>
    <w:rsid w:val="00EC0F8D"/>
    <w:rsid w:val="00EC2208"/>
    <w:rsid w:val="00EC3BF9"/>
    <w:rsid w:val="00EC545E"/>
    <w:rsid w:val="00ED1672"/>
    <w:rsid w:val="00ED7606"/>
    <w:rsid w:val="00ED7ECC"/>
    <w:rsid w:val="00EE0369"/>
    <w:rsid w:val="00EE2D30"/>
    <w:rsid w:val="00EE4A87"/>
    <w:rsid w:val="00EE7C60"/>
    <w:rsid w:val="00EF0CCF"/>
    <w:rsid w:val="00EF2242"/>
    <w:rsid w:val="00F00253"/>
    <w:rsid w:val="00F0147B"/>
    <w:rsid w:val="00F07783"/>
    <w:rsid w:val="00F07977"/>
    <w:rsid w:val="00F07F96"/>
    <w:rsid w:val="00F13241"/>
    <w:rsid w:val="00F139BA"/>
    <w:rsid w:val="00F14284"/>
    <w:rsid w:val="00F143B7"/>
    <w:rsid w:val="00F14B46"/>
    <w:rsid w:val="00F14D74"/>
    <w:rsid w:val="00F1730E"/>
    <w:rsid w:val="00F17AD7"/>
    <w:rsid w:val="00F17E55"/>
    <w:rsid w:val="00F20771"/>
    <w:rsid w:val="00F2641F"/>
    <w:rsid w:val="00F310C3"/>
    <w:rsid w:val="00F31E03"/>
    <w:rsid w:val="00F337AA"/>
    <w:rsid w:val="00F33FCC"/>
    <w:rsid w:val="00F344EE"/>
    <w:rsid w:val="00F40118"/>
    <w:rsid w:val="00F40372"/>
    <w:rsid w:val="00F40718"/>
    <w:rsid w:val="00F41AED"/>
    <w:rsid w:val="00F42A87"/>
    <w:rsid w:val="00F438B9"/>
    <w:rsid w:val="00F4751C"/>
    <w:rsid w:val="00F5007D"/>
    <w:rsid w:val="00F50412"/>
    <w:rsid w:val="00F52942"/>
    <w:rsid w:val="00F52E04"/>
    <w:rsid w:val="00F5365B"/>
    <w:rsid w:val="00F5457D"/>
    <w:rsid w:val="00F56775"/>
    <w:rsid w:val="00F71A39"/>
    <w:rsid w:val="00F71DB7"/>
    <w:rsid w:val="00F73950"/>
    <w:rsid w:val="00F7562C"/>
    <w:rsid w:val="00F8311E"/>
    <w:rsid w:val="00F839FD"/>
    <w:rsid w:val="00F85A4C"/>
    <w:rsid w:val="00F87D75"/>
    <w:rsid w:val="00F916D1"/>
    <w:rsid w:val="00F91848"/>
    <w:rsid w:val="00F9292D"/>
    <w:rsid w:val="00F944C2"/>
    <w:rsid w:val="00F9514B"/>
    <w:rsid w:val="00F97FB7"/>
    <w:rsid w:val="00FA153C"/>
    <w:rsid w:val="00FA578D"/>
    <w:rsid w:val="00FA5CA3"/>
    <w:rsid w:val="00FA681E"/>
    <w:rsid w:val="00FB1739"/>
    <w:rsid w:val="00FB2A28"/>
    <w:rsid w:val="00FB3E12"/>
    <w:rsid w:val="00FB6CCF"/>
    <w:rsid w:val="00FB7F12"/>
    <w:rsid w:val="00FC58BB"/>
    <w:rsid w:val="00FC7271"/>
    <w:rsid w:val="00FD43AA"/>
    <w:rsid w:val="00FD4746"/>
    <w:rsid w:val="00FD4D2B"/>
    <w:rsid w:val="00FE1618"/>
    <w:rsid w:val="00FE36C4"/>
    <w:rsid w:val="00FE5132"/>
    <w:rsid w:val="00FE5714"/>
    <w:rsid w:val="00FF3F22"/>
    <w:rsid w:val="00FF4697"/>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2207B7-DD41-421B-BA18-C5409A58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1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7102"/>
    <w:rPr>
      <w:rFonts w:ascii="Tahoma" w:hAnsi="Tahoma" w:cs="Tahoma"/>
      <w:sz w:val="16"/>
      <w:szCs w:val="16"/>
    </w:rPr>
  </w:style>
  <w:style w:type="character" w:styleId="CommentReference">
    <w:name w:val="annotation reference"/>
    <w:semiHidden/>
    <w:rsid w:val="00BE7699"/>
    <w:rPr>
      <w:sz w:val="16"/>
      <w:szCs w:val="16"/>
    </w:rPr>
  </w:style>
  <w:style w:type="paragraph" w:styleId="CommentText">
    <w:name w:val="annotation text"/>
    <w:basedOn w:val="Normal"/>
    <w:semiHidden/>
    <w:rsid w:val="00BE7699"/>
    <w:rPr>
      <w:sz w:val="20"/>
      <w:szCs w:val="20"/>
    </w:rPr>
  </w:style>
  <w:style w:type="paragraph" w:styleId="CommentSubject">
    <w:name w:val="annotation subject"/>
    <w:basedOn w:val="CommentText"/>
    <w:next w:val="CommentText"/>
    <w:semiHidden/>
    <w:rsid w:val="00BE7699"/>
    <w:rPr>
      <w:b/>
      <w:bCs/>
    </w:rPr>
  </w:style>
  <w:style w:type="paragraph" w:styleId="ListParagraph">
    <w:name w:val="List Paragraph"/>
    <w:basedOn w:val="Normal"/>
    <w:uiPriority w:val="34"/>
    <w:qFormat/>
    <w:rsid w:val="00BB0D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Callen-Lorde Community Health Center</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Callen-Lorde Community Health Center</dc:title>
  <dc:subject/>
  <dc:creator>ksteffens</dc:creator>
  <cp:keywords/>
  <dc:description/>
  <cp:lastModifiedBy>Anthony Fortenberry</cp:lastModifiedBy>
  <cp:revision>3</cp:revision>
  <cp:lastPrinted>2019-02-10T13:40:00Z</cp:lastPrinted>
  <dcterms:created xsi:type="dcterms:W3CDTF">2019-08-27T14:47:00Z</dcterms:created>
  <dcterms:modified xsi:type="dcterms:W3CDTF">2019-08-27T14:49:00Z</dcterms:modified>
</cp:coreProperties>
</file>